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43"/>
        <w:ind w:left="120" w:right="0" w:firstLine="0"/>
        <w:jc w:val="left"/>
        <w:rPr>
          <w:b/>
          <w:sz w:val="27"/>
        </w:rPr>
      </w:pPr>
      <w:bookmarkStart w:name="广东省农村信用社联合社域名解析服务器采购项目公开招标公告" w:id="1"/>
      <w:bookmarkEnd w:id="1"/>
      <w:r>
        <w:rPr/>
      </w:r>
      <w:r>
        <w:rPr>
          <w:b/>
          <w:sz w:val="27"/>
        </w:rPr>
        <w:t>广东省农村信用社联合社域名解析服务器采购项目公开招标公告</w:t>
      </w:r>
    </w:p>
    <w:p>
      <w:pPr>
        <w:pStyle w:val="BodyText"/>
        <w:spacing w:before="2"/>
        <w:rPr>
          <w:b/>
          <w:sz w:val="22"/>
        </w:rPr>
      </w:pPr>
    </w:p>
    <w:p>
      <w:pPr>
        <w:tabs>
          <w:tab w:pos="1919" w:val="left" w:leader="none"/>
        </w:tabs>
        <w:spacing w:before="0"/>
        <w:ind w:left="120" w:right="0" w:firstLine="0"/>
        <w:jc w:val="left"/>
        <w:rPr>
          <w:sz w:val="24"/>
        </w:rPr>
      </w:pPr>
      <w:r>
        <w:rPr>
          <w:sz w:val="24"/>
        </w:rPr>
        <w:t>浏览次数：</w:t>
        <w:tab/>
        <w:t>发布日期：2019-10-30</w:t>
      </w:r>
    </w:p>
    <w:p>
      <w:pPr>
        <w:pStyle w:val="BodyText"/>
        <w:spacing w:before="2"/>
        <w:rPr>
          <w:sz w:val="22"/>
        </w:rPr>
      </w:pPr>
    </w:p>
    <w:p>
      <w:pPr>
        <w:pStyle w:val="BodyText"/>
        <w:spacing w:line="242" w:lineRule="auto"/>
        <w:ind w:left="120" w:right="302" w:firstLine="559"/>
      </w:pPr>
      <w:r>
        <w:rPr>
          <w:spacing w:val="-3"/>
        </w:rPr>
        <w:t>广东志正招标有限公司受广东省农村信用合作社联合社的委 托，对广东省农村信用社联合社域名解析服务器采购项目进行公开招标采购，欢迎符合资格条件的供应商投标。</w:t>
      </w:r>
    </w:p>
    <w:p>
      <w:pPr>
        <w:pStyle w:val="BodyText"/>
        <w:spacing w:before="1"/>
        <w:rPr>
          <w:sz w:val="22"/>
        </w:rPr>
      </w:pPr>
    </w:p>
    <w:p>
      <w:pPr>
        <w:pStyle w:val="ListParagraph"/>
        <w:numPr>
          <w:ilvl w:val="0"/>
          <w:numId w:val="1"/>
        </w:numPr>
        <w:tabs>
          <w:tab w:pos="404" w:val="left" w:leader="none"/>
        </w:tabs>
        <w:spacing w:line="240" w:lineRule="auto" w:before="0" w:after="0"/>
        <w:ind w:left="403" w:right="0" w:hanging="284"/>
        <w:jc w:val="left"/>
        <w:rPr>
          <w:sz w:val="28"/>
        </w:rPr>
      </w:pPr>
      <w:r>
        <w:rPr>
          <w:spacing w:val="-3"/>
          <w:sz w:val="28"/>
        </w:rPr>
        <w:t>采购项目编号：</w:t>
      </w:r>
      <w:r>
        <w:rPr>
          <w:sz w:val="28"/>
        </w:rPr>
        <w:t>ZZ0190657NA4A03</w:t>
      </w:r>
    </w:p>
    <w:p>
      <w:pPr>
        <w:pStyle w:val="BodyText"/>
        <w:spacing w:before="3"/>
        <w:rPr>
          <w:sz w:val="22"/>
        </w:rPr>
      </w:pPr>
    </w:p>
    <w:p>
      <w:pPr>
        <w:pStyle w:val="ListParagraph"/>
        <w:numPr>
          <w:ilvl w:val="0"/>
          <w:numId w:val="1"/>
        </w:numPr>
        <w:tabs>
          <w:tab w:pos="404" w:val="left" w:leader="none"/>
        </w:tabs>
        <w:spacing w:line="242" w:lineRule="auto" w:before="0" w:after="0"/>
        <w:ind w:left="120" w:right="302" w:firstLine="0"/>
        <w:jc w:val="left"/>
        <w:rPr>
          <w:sz w:val="28"/>
        </w:rPr>
      </w:pPr>
      <w:r>
        <w:rPr>
          <w:spacing w:val="-3"/>
          <w:sz w:val="28"/>
        </w:rPr>
        <w:t>采购项目名称：广东省农村信用社联合社域名解析服务器采购项目</w:t>
      </w:r>
    </w:p>
    <w:p>
      <w:pPr>
        <w:pStyle w:val="BodyText"/>
        <w:spacing w:before="12"/>
        <w:rPr>
          <w:sz w:val="21"/>
        </w:rPr>
      </w:pPr>
    </w:p>
    <w:p>
      <w:pPr>
        <w:pStyle w:val="BodyText"/>
        <w:ind w:left="120"/>
      </w:pPr>
      <w:r>
        <w:rPr/>
        <w:t>3.采购项目预算金额（元）：人民币 1,600,000.00 元。</w:t>
      </w:r>
    </w:p>
    <w:p>
      <w:pPr>
        <w:pStyle w:val="BodyText"/>
        <w:spacing w:before="2"/>
        <w:rPr>
          <w:sz w:val="22"/>
        </w:rPr>
      </w:pPr>
    </w:p>
    <w:p>
      <w:pPr>
        <w:pStyle w:val="ListParagraph"/>
        <w:numPr>
          <w:ilvl w:val="0"/>
          <w:numId w:val="2"/>
        </w:numPr>
        <w:tabs>
          <w:tab w:pos="404" w:val="left" w:leader="none"/>
        </w:tabs>
        <w:spacing w:line="240" w:lineRule="auto" w:before="0" w:after="0"/>
        <w:ind w:left="403" w:right="0" w:hanging="284"/>
        <w:jc w:val="left"/>
        <w:rPr>
          <w:sz w:val="28"/>
        </w:rPr>
      </w:pPr>
      <w:r>
        <w:rPr>
          <w:spacing w:val="-3"/>
          <w:sz w:val="28"/>
        </w:rPr>
        <w:t>采购数量：一项</w:t>
      </w:r>
    </w:p>
    <w:p>
      <w:pPr>
        <w:pStyle w:val="BodyText"/>
        <w:spacing w:before="3"/>
        <w:rPr>
          <w:sz w:val="22"/>
        </w:rPr>
      </w:pPr>
    </w:p>
    <w:p>
      <w:pPr>
        <w:pStyle w:val="ListParagraph"/>
        <w:numPr>
          <w:ilvl w:val="0"/>
          <w:numId w:val="2"/>
        </w:numPr>
        <w:tabs>
          <w:tab w:pos="404" w:val="left" w:leader="none"/>
        </w:tabs>
        <w:spacing w:line="240" w:lineRule="auto" w:before="0" w:after="0"/>
        <w:ind w:left="403" w:right="0" w:hanging="284"/>
        <w:jc w:val="left"/>
        <w:rPr>
          <w:sz w:val="28"/>
        </w:rPr>
      </w:pPr>
      <w:r>
        <w:rPr>
          <w:spacing w:val="-3"/>
          <w:sz w:val="28"/>
        </w:rPr>
        <w:t>项目内容及要求：</w:t>
      </w:r>
      <w:r>
        <w:rPr>
          <w:sz w:val="28"/>
        </w:rPr>
        <w:t>（</w:t>
      </w:r>
      <w:r>
        <w:rPr>
          <w:spacing w:val="-3"/>
          <w:sz w:val="28"/>
        </w:rPr>
        <w:t>详见招标文件</w:t>
      </w:r>
      <w:r>
        <w:rPr>
          <w:sz w:val="28"/>
        </w:rPr>
        <w:t>）</w:t>
      </w:r>
    </w:p>
    <w:p>
      <w:pPr>
        <w:pStyle w:val="BodyText"/>
        <w:spacing w:before="2"/>
        <w:rPr>
          <w:sz w:val="22"/>
        </w:rPr>
      </w:pPr>
    </w:p>
    <w:p>
      <w:pPr>
        <w:pStyle w:val="BodyText"/>
        <w:spacing w:before="1"/>
        <w:ind w:left="120"/>
      </w:pPr>
      <w:r>
        <w:rPr/>
        <w:t>1）.项目内容:广东省农村信用社联合社域名解析服务器采购项目。</w:t>
      </w:r>
    </w:p>
    <w:p>
      <w:pPr>
        <w:pStyle w:val="BodyText"/>
        <w:spacing w:before="2"/>
        <w:rPr>
          <w:sz w:val="22"/>
        </w:rPr>
      </w:pPr>
    </w:p>
    <w:p>
      <w:pPr>
        <w:pStyle w:val="BodyText"/>
        <w:ind w:left="120"/>
      </w:pPr>
      <w:r>
        <w:rPr/>
        <w:t>2）.交货地点：用户指定的地点。</w:t>
      </w:r>
    </w:p>
    <w:p>
      <w:pPr>
        <w:pStyle w:val="BodyText"/>
        <w:spacing w:before="3"/>
        <w:rPr>
          <w:sz w:val="22"/>
        </w:rPr>
      </w:pPr>
    </w:p>
    <w:p>
      <w:pPr>
        <w:pStyle w:val="BodyText"/>
        <w:ind w:left="120"/>
      </w:pPr>
      <w:r>
        <w:rPr/>
        <w:t>3）.招标项目的详细内容及技术参数、执行标准详见招标需求书。</w:t>
      </w:r>
    </w:p>
    <w:p>
      <w:pPr>
        <w:pStyle w:val="BodyText"/>
        <w:spacing w:before="2"/>
        <w:rPr>
          <w:sz w:val="22"/>
        </w:rPr>
      </w:pPr>
    </w:p>
    <w:p>
      <w:pPr>
        <w:pStyle w:val="BodyText"/>
        <w:spacing w:line="242" w:lineRule="auto"/>
        <w:ind w:left="120" w:right="163"/>
      </w:pPr>
      <w:r>
        <w:rPr/>
        <w:t>4).投标人应对项目所有的；标的物进行投标，不允许只对其中部分内容进行投标。</w:t>
      </w:r>
    </w:p>
    <w:p>
      <w:pPr>
        <w:pStyle w:val="BodyText"/>
        <w:spacing w:before="12"/>
        <w:rPr>
          <w:sz w:val="21"/>
        </w:rPr>
      </w:pPr>
    </w:p>
    <w:p>
      <w:pPr>
        <w:pStyle w:val="ListParagraph"/>
        <w:numPr>
          <w:ilvl w:val="0"/>
          <w:numId w:val="2"/>
        </w:numPr>
        <w:tabs>
          <w:tab w:pos="404" w:val="left" w:leader="none"/>
        </w:tabs>
        <w:spacing w:line="240" w:lineRule="auto" w:before="0" w:after="0"/>
        <w:ind w:left="403" w:right="0" w:hanging="284"/>
        <w:jc w:val="left"/>
        <w:rPr>
          <w:sz w:val="28"/>
        </w:rPr>
      </w:pPr>
      <w:r>
        <w:rPr>
          <w:spacing w:val="-3"/>
          <w:sz w:val="28"/>
        </w:rPr>
        <w:t>供应商资格：</w:t>
      </w:r>
    </w:p>
    <w:p>
      <w:pPr>
        <w:pStyle w:val="BodyText"/>
        <w:spacing w:before="3"/>
        <w:rPr>
          <w:sz w:val="22"/>
        </w:rPr>
      </w:pPr>
    </w:p>
    <w:p>
      <w:pPr>
        <w:pStyle w:val="BodyText"/>
        <w:spacing w:line="242" w:lineRule="auto"/>
        <w:ind w:left="120" w:right="304"/>
      </w:pPr>
      <w:r>
        <w:rPr/>
        <w:t>1）.具有独立承担民事责任能力的在中华人民共和国境内依法注册的法人或其他组织。</w:t>
      </w:r>
    </w:p>
    <w:p>
      <w:pPr>
        <w:pStyle w:val="BodyText"/>
        <w:spacing w:before="11"/>
        <w:rPr>
          <w:sz w:val="21"/>
        </w:rPr>
      </w:pPr>
    </w:p>
    <w:p>
      <w:pPr>
        <w:pStyle w:val="BodyText"/>
        <w:spacing w:line="244" w:lineRule="auto" w:before="1"/>
        <w:ind w:left="120" w:right="304"/>
      </w:pPr>
      <w:r>
        <w:rPr/>
        <w:t>2）.独立于招标人及招标代理机构，已购买招标文件及报名的投标人。</w:t>
      </w:r>
    </w:p>
    <w:p>
      <w:pPr>
        <w:pStyle w:val="BodyText"/>
        <w:spacing w:before="4"/>
        <w:rPr>
          <w:sz w:val="21"/>
        </w:rPr>
      </w:pPr>
    </w:p>
    <w:p>
      <w:pPr>
        <w:pStyle w:val="BodyText"/>
        <w:spacing w:line="244" w:lineRule="auto"/>
        <w:ind w:left="120" w:right="304"/>
      </w:pPr>
      <w:r>
        <w:rPr/>
        <w:t>3）.投标人为投标货物的制造商或者是获得制造商专项授权参与本项目的唯一代理商。</w:t>
      </w:r>
    </w:p>
    <w:p>
      <w:pPr>
        <w:pStyle w:val="BodyText"/>
        <w:spacing w:before="7"/>
        <w:rPr>
          <w:sz w:val="21"/>
        </w:rPr>
      </w:pPr>
    </w:p>
    <w:p>
      <w:pPr>
        <w:pStyle w:val="BodyText"/>
        <w:spacing w:line="242" w:lineRule="auto"/>
        <w:ind w:left="120" w:right="302"/>
      </w:pPr>
      <w:r>
        <w:rPr/>
        <w:t>4）</w:t>
      </w:r>
      <w:r>
        <w:rPr>
          <w:spacing w:val="-3"/>
        </w:rPr>
        <w:t>.参加本项目采购活动前三年内没有违法、违规或其他不良纪 </w:t>
      </w:r>
      <w:r>
        <w:rPr>
          <w:spacing w:val="-19"/>
        </w:rPr>
        <w:t>录；近 </w:t>
      </w:r>
      <w:r>
        <w:rPr/>
        <w:t>3</w:t>
      </w:r>
      <w:r>
        <w:rPr>
          <w:spacing w:val="-10"/>
        </w:rPr>
        <w:t> 年内未因执业活动受到司法行政主管部门行政处罚或者律</w:t>
      </w:r>
    </w:p>
    <w:p>
      <w:pPr>
        <w:spacing w:after="0" w:line="242" w:lineRule="auto"/>
        <w:sectPr>
          <w:type w:val="continuous"/>
          <w:pgSz w:w="11910" w:h="16840"/>
          <w:pgMar w:top="1380" w:bottom="280" w:left="1680" w:right="1680"/>
        </w:sectPr>
      </w:pPr>
    </w:p>
    <w:p>
      <w:pPr>
        <w:pStyle w:val="BodyText"/>
        <w:spacing w:line="244" w:lineRule="auto" w:before="43"/>
        <w:ind w:left="120" w:right="302"/>
      </w:pPr>
      <w:r>
        <w:rPr/>
        <w:t>师协会行业处分（须提交有关证明材料并加盖公章）；没有被行政主管部门取消投标资格且仍在被处罚期内。</w:t>
      </w:r>
    </w:p>
    <w:p>
      <w:pPr>
        <w:pStyle w:val="BodyText"/>
        <w:spacing w:before="6"/>
        <w:rPr>
          <w:sz w:val="21"/>
        </w:rPr>
      </w:pPr>
    </w:p>
    <w:p>
      <w:pPr>
        <w:pStyle w:val="BodyText"/>
        <w:spacing w:line="242" w:lineRule="auto" w:before="1"/>
        <w:ind w:left="120" w:right="302"/>
        <w:jc w:val="both"/>
      </w:pPr>
      <w:r>
        <w:rPr/>
        <w:t>5）.与招标人存在利害关系可能影响招标公正性的法人、其他组织或者个人，不得参加投标。单位负责人为同一人或者存在控股、管理关系的不同单位，不得参加同一标段投标或者未划分标段的同一招标项目投标。违反前两款规定的，相关投标均无效。</w:t>
      </w:r>
    </w:p>
    <w:p>
      <w:pPr>
        <w:pStyle w:val="BodyText"/>
        <w:spacing w:before="11"/>
        <w:rPr>
          <w:sz w:val="21"/>
        </w:rPr>
      </w:pPr>
    </w:p>
    <w:p>
      <w:pPr>
        <w:pStyle w:val="BodyText"/>
        <w:spacing w:line="242" w:lineRule="auto" w:before="1"/>
        <w:ind w:left="120" w:right="302"/>
        <w:jc w:val="both"/>
      </w:pPr>
      <w:r>
        <w:rPr/>
        <w:t>6）.截止至本项目招标公告发布之日，未被纳入招标人供应商黑名单之内（截止本项目投标截止日，已解除黑名单处罚的除外）及与招标人无合同纠纷。若投标人在招标人供应商黑名单有效期之内或与招标人存在合同纠纷，则该投标人及其所授权的代理人的投标无效。</w:t>
      </w:r>
    </w:p>
    <w:p>
      <w:pPr>
        <w:pStyle w:val="BodyText"/>
        <w:spacing w:before="3"/>
        <w:rPr>
          <w:sz w:val="22"/>
        </w:rPr>
      </w:pPr>
    </w:p>
    <w:p>
      <w:pPr>
        <w:pStyle w:val="BodyText"/>
        <w:spacing w:before="1"/>
        <w:ind w:left="120"/>
      </w:pPr>
      <w:r>
        <w:rPr/>
        <w:t>7）.本项目只接受报名并购买了招标文件的单位提交的投标文件。</w:t>
      </w:r>
    </w:p>
    <w:p>
      <w:pPr>
        <w:pStyle w:val="BodyText"/>
        <w:spacing w:before="2"/>
        <w:rPr>
          <w:sz w:val="22"/>
        </w:rPr>
      </w:pPr>
    </w:p>
    <w:p>
      <w:pPr>
        <w:pStyle w:val="BodyText"/>
        <w:ind w:left="120"/>
      </w:pPr>
      <w:r>
        <w:rPr/>
        <w:t>8）.本项目不接受联合体投标。</w:t>
      </w:r>
    </w:p>
    <w:p>
      <w:pPr>
        <w:pStyle w:val="BodyText"/>
        <w:rPr>
          <w:sz w:val="22"/>
        </w:rPr>
      </w:pPr>
    </w:p>
    <w:p>
      <w:pPr>
        <w:pStyle w:val="BodyText"/>
        <w:spacing w:line="244" w:lineRule="auto"/>
        <w:ind w:left="120" w:right="163"/>
      </w:pPr>
      <w:r>
        <w:rPr/>
        <w:t>7、获取招标文件方式：现场购买或邮购，原件核查的项目须到现场办理。</w:t>
      </w:r>
    </w:p>
    <w:p>
      <w:pPr>
        <w:pStyle w:val="BodyText"/>
        <w:spacing w:before="7"/>
        <w:rPr>
          <w:sz w:val="21"/>
        </w:rPr>
      </w:pPr>
    </w:p>
    <w:p>
      <w:pPr>
        <w:pStyle w:val="BodyText"/>
        <w:spacing w:line="242" w:lineRule="auto"/>
        <w:ind w:left="120" w:right="235"/>
      </w:pPr>
      <w:r>
        <w:rPr>
          <w:spacing w:val="-9"/>
        </w:rPr>
        <w:t>符合资格的供应商应当在 </w:t>
      </w:r>
      <w:r>
        <w:rPr/>
        <w:t>2019</w:t>
      </w:r>
      <w:r>
        <w:rPr>
          <w:spacing w:val="-47"/>
        </w:rPr>
        <w:t> 年 </w:t>
      </w:r>
      <w:r>
        <w:rPr/>
        <w:t>10</w:t>
      </w:r>
      <w:r>
        <w:rPr>
          <w:spacing w:val="-48"/>
        </w:rPr>
        <w:t> 月 </w:t>
      </w:r>
      <w:r>
        <w:rPr/>
        <w:t>30</w:t>
      </w:r>
      <w:r>
        <w:rPr>
          <w:spacing w:val="-30"/>
        </w:rPr>
        <w:t> 日起至 </w:t>
      </w:r>
      <w:r>
        <w:rPr/>
        <w:t>2019</w:t>
      </w:r>
      <w:r>
        <w:rPr>
          <w:spacing w:val="-47"/>
        </w:rPr>
        <w:t> 年 </w:t>
      </w:r>
      <w:r>
        <w:rPr/>
        <w:t>11</w:t>
      </w:r>
      <w:r>
        <w:rPr>
          <w:spacing w:val="-48"/>
        </w:rPr>
        <w:t> 月 </w:t>
      </w:r>
      <w:r>
        <w:rPr/>
        <w:t>18 </w:t>
      </w:r>
      <w:r>
        <w:rPr>
          <w:spacing w:val="-2"/>
        </w:rPr>
        <w:t>日期间</w:t>
      </w:r>
      <w:r>
        <w:rPr/>
        <w:t>（</w:t>
      </w:r>
      <w:r>
        <w:rPr>
          <w:spacing w:val="-15"/>
        </w:rPr>
        <w:t>工作日上午 </w:t>
      </w:r>
      <w:r>
        <w:rPr/>
        <w:t>9:00-12:00</w:t>
      </w:r>
      <w:r>
        <w:rPr>
          <w:spacing w:val="-30"/>
        </w:rPr>
        <w:t> 和下午 </w:t>
      </w:r>
      <w:r>
        <w:rPr/>
        <w:t>14:00-17:30</w:t>
      </w:r>
      <w:r>
        <w:rPr>
          <w:spacing w:val="-3"/>
        </w:rPr>
        <w:t>，法定节假日除外</w:t>
      </w:r>
      <w:r>
        <w:rPr/>
        <w:t>）</w:t>
      </w:r>
      <w:r>
        <w:rPr>
          <w:spacing w:val="-3"/>
        </w:rPr>
        <w:t>到广东志正招标有限公司</w:t>
      </w:r>
      <w:r>
        <w:rPr/>
        <w:t>（</w:t>
      </w:r>
      <w:r>
        <w:rPr>
          <w:spacing w:val="-3"/>
        </w:rPr>
        <w:t>详细地址：广州市天河区龙怡路117</w:t>
      </w:r>
      <w:r>
        <w:rPr>
          <w:spacing w:val="-22"/>
        </w:rPr>
        <w:t> 号银汇大厦 </w:t>
      </w:r>
      <w:r>
        <w:rPr/>
        <w:t>5</w:t>
      </w:r>
      <w:r>
        <w:rPr>
          <w:spacing w:val="-36"/>
        </w:rPr>
        <w:t> 楼</w:t>
      </w:r>
      <w:r>
        <w:rPr>
          <w:spacing w:val="-3"/>
        </w:rPr>
        <w:t>）</w:t>
      </w:r>
      <w:r>
        <w:rPr>
          <w:spacing w:val="-8"/>
        </w:rPr>
        <w:t>购买招标文件，招标文件每套售价 </w:t>
      </w:r>
      <w:r>
        <w:rPr/>
        <w:t>500</w:t>
      </w:r>
      <w:r>
        <w:rPr>
          <w:spacing w:val="-36"/>
        </w:rPr>
        <w:t> 元</w:t>
      </w:r>
    </w:p>
    <w:p>
      <w:pPr>
        <w:pStyle w:val="BodyText"/>
        <w:spacing w:before="3"/>
        <w:ind w:left="120"/>
      </w:pPr>
      <w:r>
        <w:rPr/>
        <w:t>（人民币，现场报名的只接受现金），售后不退。</w:t>
      </w:r>
    </w:p>
    <w:p>
      <w:pPr>
        <w:pStyle w:val="BodyText"/>
      </w:pPr>
    </w:p>
    <w:p>
      <w:pPr>
        <w:pStyle w:val="BodyText"/>
      </w:pPr>
    </w:p>
    <w:p>
      <w:pPr>
        <w:pStyle w:val="BodyText"/>
        <w:spacing w:before="210"/>
        <w:ind w:left="120"/>
      </w:pPr>
      <w:r>
        <w:rPr/>
        <w:t>8.投标截止时间：2019 年 11 月 20 日上午 9：30</w:t>
      </w:r>
    </w:p>
    <w:p>
      <w:pPr>
        <w:pStyle w:val="BodyText"/>
        <w:spacing w:before="3"/>
        <w:rPr>
          <w:sz w:val="22"/>
        </w:rPr>
      </w:pPr>
    </w:p>
    <w:p>
      <w:pPr>
        <w:pStyle w:val="BodyText"/>
        <w:spacing w:line="242" w:lineRule="auto"/>
        <w:ind w:left="120" w:right="304"/>
        <w:jc w:val="both"/>
      </w:pPr>
      <w:r>
        <w:rPr/>
        <w:t>9</w:t>
      </w:r>
      <w:r>
        <w:rPr>
          <w:spacing w:val="-7"/>
        </w:rPr>
        <w:t>.提交投标文件地点：广州市天河区龙怡路 </w:t>
      </w:r>
      <w:r>
        <w:rPr/>
        <w:t>117</w:t>
      </w:r>
      <w:r>
        <w:rPr>
          <w:spacing w:val="-46"/>
        </w:rPr>
        <w:t> 号 </w:t>
      </w:r>
      <w:r>
        <w:rPr/>
        <w:t>5</w:t>
      </w:r>
      <w:r>
        <w:rPr>
          <w:spacing w:val="-12"/>
        </w:rPr>
        <w:t> 楼广东志正招</w:t>
      </w:r>
      <w:r>
        <w:rPr>
          <w:spacing w:val="-5"/>
        </w:rPr>
        <w:t>标有限公司会议室</w:t>
      </w:r>
    </w:p>
    <w:p>
      <w:pPr>
        <w:pStyle w:val="BodyText"/>
        <w:spacing w:before="11"/>
        <w:rPr>
          <w:sz w:val="21"/>
        </w:rPr>
      </w:pPr>
    </w:p>
    <w:p>
      <w:pPr>
        <w:pStyle w:val="BodyText"/>
        <w:spacing w:before="1"/>
        <w:ind w:left="120"/>
      </w:pPr>
      <w:r>
        <w:rPr/>
        <w:t>10.开标时间：2019 年 11 月 20 日上午 9：30</w:t>
      </w:r>
    </w:p>
    <w:p>
      <w:pPr>
        <w:pStyle w:val="BodyText"/>
        <w:spacing w:before="2"/>
        <w:rPr>
          <w:sz w:val="22"/>
        </w:rPr>
      </w:pPr>
    </w:p>
    <w:p>
      <w:pPr>
        <w:pStyle w:val="BodyText"/>
        <w:spacing w:line="244" w:lineRule="auto"/>
        <w:ind w:left="120" w:right="163"/>
        <w:jc w:val="both"/>
      </w:pPr>
      <w:r>
        <w:rPr/>
        <w:t>11</w:t>
      </w:r>
      <w:r>
        <w:rPr>
          <w:spacing w:val="-8"/>
        </w:rPr>
        <w:t>.开标地点：广州市天河区龙怡路 </w:t>
      </w:r>
      <w:r>
        <w:rPr/>
        <w:t>117</w:t>
      </w:r>
      <w:r>
        <w:rPr>
          <w:spacing w:val="-47"/>
        </w:rPr>
        <w:t> 号 </w:t>
      </w:r>
      <w:r>
        <w:rPr/>
        <w:t>5</w:t>
      </w:r>
      <w:r>
        <w:rPr>
          <w:spacing w:val="-10"/>
        </w:rPr>
        <w:t> 楼广东志正招标有限公</w:t>
      </w:r>
      <w:r>
        <w:rPr>
          <w:spacing w:val="-4"/>
        </w:rPr>
        <w:t>司会议室</w:t>
      </w:r>
    </w:p>
    <w:p>
      <w:pPr>
        <w:spacing w:after="0" w:line="244" w:lineRule="auto"/>
        <w:jc w:val="both"/>
        <w:sectPr>
          <w:pgSz w:w="11910" w:h="16840"/>
          <w:pgMar w:top="1380" w:bottom="280" w:left="1680" w:right="1680"/>
        </w:sectPr>
      </w:pPr>
    </w:p>
    <w:p>
      <w:pPr>
        <w:pStyle w:val="BodyText"/>
        <w:spacing w:line="429" w:lineRule="auto" w:before="43"/>
        <w:ind w:left="6115" w:right="117" w:hanging="771"/>
        <w:jc w:val="right"/>
      </w:pPr>
      <w:r>
        <w:rPr>
          <w:spacing w:val="-3"/>
        </w:rPr>
        <w:t>广东省农村信用社联合社2019</w:t>
      </w:r>
      <w:r>
        <w:rPr>
          <w:spacing w:val="-47"/>
        </w:rPr>
        <w:t> 年 </w:t>
      </w:r>
      <w:r>
        <w:rPr/>
        <w:t>10</w:t>
      </w:r>
      <w:r>
        <w:rPr>
          <w:spacing w:val="-48"/>
        </w:rPr>
        <w:t> 月 </w:t>
      </w:r>
      <w:r>
        <w:rPr/>
        <w:t>30</w:t>
      </w:r>
      <w:r>
        <w:rPr>
          <w:spacing w:val="-42"/>
        </w:rPr>
        <w:t> 日</w:t>
      </w:r>
    </w:p>
    <w:p>
      <w:pPr>
        <w:pStyle w:val="BodyText"/>
        <w:rPr>
          <w:sz w:val="20"/>
        </w:rPr>
      </w:pPr>
    </w:p>
    <w:p>
      <w:pPr>
        <w:pStyle w:val="BodyText"/>
        <w:spacing w:before="7"/>
        <w:rPr>
          <w:sz w:val="25"/>
        </w:rPr>
      </w:pPr>
    </w:p>
    <w:p>
      <w:pPr>
        <w:pStyle w:val="BodyText"/>
        <w:spacing w:before="61"/>
        <w:ind w:left="120"/>
      </w:pPr>
      <w:r>
        <w:rPr>
          <w:spacing w:val="-3"/>
        </w:rPr>
        <w:t>详细情况请见链接：</w:t>
      </w:r>
    </w:p>
    <w:p>
      <w:pPr>
        <w:pStyle w:val="BodyText"/>
        <w:spacing w:before="3"/>
        <w:rPr>
          <w:sz w:val="22"/>
        </w:rPr>
      </w:pPr>
    </w:p>
    <w:p>
      <w:pPr>
        <w:pStyle w:val="BodyText"/>
        <w:spacing w:line="242" w:lineRule="auto"/>
        <w:ind w:left="120"/>
      </w:pPr>
      <w:hyperlink r:id="rId5">
        <w:r>
          <w:rPr>
            <w:spacing w:val="-1"/>
          </w:rPr>
          <w:t>http://www.zztender.com/tender/5bf4e003ebfca/p-</w:t>
        </w:r>
      </w:hyperlink>
      <w:r>
        <w:rPr>
          <w:spacing w:val="-1"/>
        </w:rPr>
        <w:t> </w:t>
      </w:r>
      <w:r>
        <w:rPr/>
        <w:t>5db7f5bb59ada.html</w:t>
      </w:r>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4"/>
      <w:numFmt w:val="decimal"/>
      <w:lvlText w:val="%1."/>
      <w:lvlJc w:val="left"/>
      <w:pPr>
        <w:ind w:left="403" w:hanging="284"/>
        <w:jc w:val="left"/>
      </w:pPr>
      <w:rPr>
        <w:rFonts w:hint="default" w:ascii="宋体" w:hAnsi="宋体" w:eastAsia="宋体" w:cs="宋体"/>
        <w:spacing w:val="-2"/>
        <w:w w:val="100"/>
        <w:sz w:val="26"/>
        <w:szCs w:val="26"/>
        <w:lang w:val="zh-CN" w:eastAsia="zh-CN" w:bidi="zh-CN"/>
      </w:rPr>
    </w:lvl>
    <w:lvl w:ilvl="1">
      <w:start w:val="0"/>
      <w:numFmt w:val="bullet"/>
      <w:lvlText w:val="•"/>
      <w:lvlJc w:val="left"/>
      <w:pPr>
        <w:ind w:left="1214" w:hanging="284"/>
      </w:pPr>
      <w:rPr>
        <w:rFonts w:hint="default"/>
        <w:lang w:val="zh-CN" w:eastAsia="zh-CN" w:bidi="zh-CN"/>
      </w:rPr>
    </w:lvl>
    <w:lvl w:ilvl="2">
      <w:start w:val="0"/>
      <w:numFmt w:val="bullet"/>
      <w:lvlText w:val="•"/>
      <w:lvlJc w:val="left"/>
      <w:pPr>
        <w:ind w:left="2029" w:hanging="284"/>
      </w:pPr>
      <w:rPr>
        <w:rFonts w:hint="default"/>
        <w:lang w:val="zh-CN" w:eastAsia="zh-CN" w:bidi="zh-CN"/>
      </w:rPr>
    </w:lvl>
    <w:lvl w:ilvl="3">
      <w:start w:val="0"/>
      <w:numFmt w:val="bullet"/>
      <w:lvlText w:val="•"/>
      <w:lvlJc w:val="left"/>
      <w:pPr>
        <w:ind w:left="2843" w:hanging="284"/>
      </w:pPr>
      <w:rPr>
        <w:rFonts w:hint="default"/>
        <w:lang w:val="zh-CN" w:eastAsia="zh-CN" w:bidi="zh-CN"/>
      </w:rPr>
    </w:lvl>
    <w:lvl w:ilvl="4">
      <w:start w:val="0"/>
      <w:numFmt w:val="bullet"/>
      <w:lvlText w:val="•"/>
      <w:lvlJc w:val="left"/>
      <w:pPr>
        <w:ind w:left="3658" w:hanging="284"/>
      </w:pPr>
      <w:rPr>
        <w:rFonts w:hint="default"/>
        <w:lang w:val="zh-CN" w:eastAsia="zh-CN" w:bidi="zh-CN"/>
      </w:rPr>
    </w:lvl>
    <w:lvl w:ilvl="5">
      <w:start w:val="0"/>
      <w:numFmt w:val="bullet"/>
      <w:lvlText w:val="•"/>
      <w:lvlJc w:val="left"/>
      <w:pPr>
        <w:ind w:left="4473" w:hanging="284"/>
      </w:pPr>
      <w:rPr>
        <w:rFonts w:hint="default"/>
        <w:lang w:val="zh-CN" w:eastAsia="zh-CN" w:bidi="zh-CN"/>
      </w:rPr>
    </w:lvl>
    <w:lvl w:ilvl="6">
      <w:start w:val="0"/>
      <w:numFmt w:val="bullet"/>
      <w:lvlText w:val="•"/>
      <w:lvlJc w:val="left"/>
      <w:pPr>
        <w:ind w:left="5287" w:hanging="284"/>
      </w:pPr>
      <w:rPr>
        <w:rFonts w:hint="default"/>
        <w:lang w:val="zh-CN" w:eastAsia="zh-CN" w:bidi="zh-CN"/>
      </w:rPr>
    </w:lvl>
    <w:lvl w:ilvl="7">
      <w:start w:val="0"/>
      <w:numFmt w:val="bullet"/>
      <w:lvlText w:val="•"/>
      <w:lvlJc w:val="left"/>
      <w:pPr>
        <w:ind w:left="6102" w:hanging="284"/>
      </w:pPr>
      <w:rPr>
        <w:rFonts w:hint="default"/>
        <w:lang w:val="zh-CN" w:eastAsia="zh-CN" w:bidi="zh-CN"/>
      </w:rPr>
    </w:lvl>
    <w:lvl w:ilvl="8">
      <w:start w:val="0"/>
      <w:numFmt w:val="bullet"/>
      <w:lvlText w:val="•"/>
      <w:lvlJc w:val="left"/>
      <w:pPr>
        <w:ind w:left="6916" w:hanging="284"/>
      </w:pPr>
      <w:rPr>
        <w:rFonts w:hint="default"/>
        <w:lang w:val="zh-CN" w:eastAsia="zh-CN" w:bidi="zh-CN"/>
      </w:rPr>
    </w:lvl>
  </w:abstractNum>
  <w:abstractNum w:abstractNumId="0">
    <w:multiLevelType w:val="hybridMultilevel"/>
    <w:lvl w:ilvl="0">
      <w:start w:val="1"/>
      <w:numFmt w:val="decimal"/>
      <w:lvlText w:val="%1."/>
      <w:lvlJc w:val="left"/>
      <w:pPr>
        <w:ind w:left="403" w:hanging="284"/>
        <w:jc w:val="left"/>
      </w:pPr>
      <w:rPr>
        <w:rFonts w:hint="default" w:ascii="宋体" w:hAnsi="宋体" w:eastAsia="宋体" w:cs="宋体"/>
        <w:spacing w:val="-2"/>
        <w:w w:val="100"/>
        <w:sz w:val="26"/>
        <w:szCs w:val="26"/>
        <w:lang w:val="zh-CN" w:eastAsia="zh-CN" w:bidi="zh-CN"/>
      </w:rPr>
    </w:lvl>
    <w:lvl w:ilvl="1">
      <w:start w:val="0"/>
      <w:numFmt w:val="bullet"/>
      <w:lvlText w:val="•"/>
      <w:lvlJc w:val="left"/>
      <w:pPr>
        <w:ind w:left="1214" w:hanging="284"/>
      </w:pPr>
      <w:rPr>
        <w:rFonts w:hint="default"/>
        <w:lang w:val="zh-CN" w:eastAsia="zh-CN" w:bidi="zh-CN"/>
      </w:rPr>
    </w:lvl>
    <w:lvl w:ilvl="2">
      <w:start w:val="0"/>
      <w:numFmt w:val="bullet"/>
      <w:lvlText w:val="•"/>
      <w:lvlJc w:val="left"/>
      <w:pPr>
        <w:ind w:left="2029" w:hanging="284"/>
      </w:pPr>
      <w:rPr>
        <w:rFonts w:hint="default"/>
        <w:lang w:val="zh-CN" w:eastAsia="zh-CN" w:bidi="zh-CN"/>
      </w:rPr>
    </w:lvl>
    <w:lvl w:ilvl="3">
      <w:start w:val="0"/>
      <w:numFmt w:val="bullet"/>
      <w:lvlText w:val="•"/>
      <w:lvlJc w:val="left"/>
      <w:pPr>
        <w:ind w:left="2843" w:hanging="284"/>
      </w:pPr>
      <w:rPr>
        <w:rFonts w:hint="default"/>
        <w:lang w:val="zh-CN" w:eastAsia="zh-CN" w:bidi="zh-CN"/>
      </w:rPr>
    </w:lvl>
    <w:lvl w:ilvl="4">
      <w:start w:val="0"/>
      <w:numFmt w:val="bullet"/>
      <w:lvlText w:val="•"/>
      <w:lvlJc w:val="left"/>
      <w:pPr>
        <w:ind w:left="3658" w:hanging="284"/>
      </w:pPr>
      <w:rPr>
        <w:rFonts w:hint="default"/>
        <w:lang w:val="zh-CN" w:eastAsia="zh-CN" w:bidi="zh-CN"/>
      </w:rPr>
    </w:lvl>
    <w:lvl w:ilvl="5">
      <w:start w:val="0"/>
      <w:numFmt w:val="bullet"/>
      <w:lvlText w:val="•"/>
      <w:lvlJc w:val="left"/>
      <w:pPr>
        <w:ind w:left="4473" w:hanging="284"/>
      </w:pPr>
      <w:rPr>
        <w:rFonts w:hint="default"/>
        <w:lang w:val="zh-CN" w:eastAsia="zh-CN" w:bidi="zh-CN"/>
      </w:rPr>
    </w:lvl>
    <w:lvl w:ilvl="6">
      <w:start w:val="0"/>
      <w:numFmt w:val="bullet"/>
      <w:lvlText w:val="•"/>
      <w:lvlJc w:val="left"/>
      <w:pPr>
        <w:ind w:left="5287" w:hanging="284"/>
      </w:pPr>
      <w:rPr>
        <w:rFonts w:hint="default"/>
        <w:lang w:val="zh-CN" w:eastAsia="zh-CN" w:bidi="zh-CN"/>
      </w:rPr>
    </w:lvl>
    <w:lvl w:ilvl="7">
      <w:start w:val="0"/>
      <w:numFmt w:val="bullet"/>
      <w:lvlText w:val="•"/>
      <w:lvlJc w:val="left"/>
      <w:pPr>
        <w:ind w:left="6102" w:hanging="284"/>
      </w:pPr>
      <w:rPr>
        <w:rFonts w:hint="default"/>
        <w:lang w:val="zh-CN" w:eastAsia="zh-CN" w:bidi="zh-CN"/>
      </w:rPr>
    </w:lvl>
    <w:lvl w:ilvl="8">
      <w:start w:val="0"/>
      <w:numFmt w:val="bullet"/>
      <w:lvlText w:val="•"/>
      <w:lvlJc w:val="left"/>
      <w:pPr>
        <w:ind w:left="6916" w:hanging="284"/>
      </w:pPr>
      <w:rPr>
        <w:rFonts w:hint="default"/>
        <w:lang w:val="zh-CN" w:eastAsia="zh-CN" w:bidi="zh-CN"/>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8"/>
      <w:szCs w:val="28"/>
      <w:lang w:val="zh-CN" w:eastAsia="zh-CN" w:bidi="zh-CN"/>
    </w:rPr>
  </w:style>
  <w:style w:styleId="ListParagraph" w:type="paragraph">
    <w:name w:val="List Paragraph"/>
    <w:basedOn w:val="Normal"/>
    <w:uiPriority w:val="1"/>
    <w:qFormat/>
    <w:pPr>
      <w:ind w:left="403" w:hanging="284"/>
    </w:pPr>
    <w:rPr>
      <w:rFonts w:ascii="宋体" w:hAnsi="宋体" w:eastAsia="宋体" w:cs="宋体"/>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zztender.com/tender/5bf4e003ebfca/p-" TargetMode="Externa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2021-07-04T16:59:22Z</dcterms:created>
  <dcterms:modified xsi:type="dcterms:W3CDTF">2021-07-04T16:59:22Z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