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60" w:right="295" w:firstLine="0"/>
        <w:jc w:val="left"/>
        <w:rPr>
          <w:b/>
          <w:sz w:val="27"/>
        </w:rPr>
      </w:pPr>
      <w:bookmarkStart w:name="广东省农村信用社联合社数据中心机房冷却塔更换及其相关服务项目公开招标公告" w:id="1"/>
      <w:bookmarkEnd w:id="1"/>
      <w:r>
        <w:rPr/>
      </w:r>
      <w:r>
        <w:rPr>
          <w:b/>
          <w:sz w:val="27"/>
        </w:rPr>
        <w:t>广东省农村信用社联合社数据中心机房冷却塔更换及其相关服务项目公开招标公告</w:t>
      </w:r>
    </w:p>
    <w:p>
      <w:pPr>
        <w:pStyle w:val="BodyText"/>
        <w:spacing w:before="12"/>
        <w:rPr>
          <w:b/>
          <w:sz w:val="21"/>
        </w:rPr>
      </w:pPr>
    </w:p>
    <w:p>
      <w:pPr>
        <w:tabs>
          <w:tab w:pos="1959" w:val="left" w:leader="none"/>
        </w:tabs>
        <w:spacing w:line="460" w:lineRule="auto" w:before="0"/>
        <w:ind w:left="160" w:right="4225" w:firstLine="0"/>
        <w:jc w:val="left"/>
        <w:rPr>
          <w:b/>
          <w:sz w:val="24"/>
        </w:rPr>
      </w:pPr>
      <w:r>
        <w:rPr>
          <w:sz w:val="24"/>
        </w:rPr>
        <w:t>浏览次数：</w:t>
        <w:tab/>
      </w:r>
      <w:r>
        <w:rPr>
          <w:spacing w:val="-1"/>
          <w:sz w:val="24"/>
        </w:rPr>
        <w:t>发布日</w:t>
      </w:r>
      <w:r>
        <w:rPr>
          <w:sz w:val="24"/>
        </w:rPr>
        <w:t>期：2020-12-07 </w:t>
      </w:r>
      <w:r>
        <w:rPr>
          <w:b/>
          <w:color w:val="333333"/>
          <w:sz w:val="24"/>
        </w:rPr>
        <w:t>致潜在的投标人：</w:t>
      </w:r>
    </w:p>
    <w:p>
      <w:pPr>
        <w:pStyle w:val="BodyText"/>
        <w:spacing w:line="242" w:lineRule="auto" w:before="1"/>
        <w:ind w:left="160" w:right="302" w:firstLine="525"/>
        <w:jc w:val="both"/>
      </w:pPr>
      <w:r>
        <w:rPr>
          <w:color w:val="333333"/>
          <w:spacing w:val="-3"/>
        </w:rPr>
        <w:t>广东省农村信用合作社联合社就广东省农村信用社联合社数据中心机房冷却塔更换及其相关服务项目进行公开招标采购，欢迎符合资格条件的供应商投标。</w:t>
      </w:r>
    </w:p>
    <w:p>
      <w:pPr>
        <w:pStyle w:val="BodyText"/>
        <w:spacing w:before="2"/>
        <w:rPr>
          <w:sz w:val="22"/>
        </w:rPr>
      </w:pPr>
    </w:p>
    <w:p>
      <w:pPr>
        <w:pStyle w:val="BodyText"/>
        <w:spacing w:line="242" w:lineRule="auto"/>
        <w:ind w:left="683" w:right="208" w:hanging="567"/>
      </w:pPr>
      <w:r>
        <w:rPr>
          <w:color w:val="333333"/>
          <w:spacing w:val="-3"/>
        </w:rPr>
        <w:t>一、 采购项目名称：广东省农村信用社联合社数据中心机房冷却塔更换及其相关服务项目</w:t>
      </w:r>
    </w:p>
    <w:p>
      <w:pPr>
        <w:pStyle w:val="BodyText"/>
        <w:spacing w:before="11"/>
        <w:rPr>
          <w:sz w:val="21"/>
        </w:rPr>
      </w:pPr>
    </w:p>
    <w:p>
      <w:pPr>
        <w:pStyle w:val="BodyText"/>
        <w:spacing w:line="429" w:lineRule="auto" w:before="1"/>
        <w:ind w:left="116" w:right="1605"/>
      </w:pPr>
      <w:r>
        <w:rPr>
          <w:color w:val="333333"/>
          <w:spacing w:val="-3"/>
        </w:rPr>
        <w:t>二、采购项目预算金额（</w:t>
      </w:r>
      <w:r>
        <w:rPr>
          <w:color w:val="333333"/>
        </w:rPr>
        <w:t>元）</w:t>
      </w:r>
      <w:r>
        <w:rPr>
          <w:color w:val="333333"/>
          <w:spacing w:val="-15"/>
        </w:rPr>
        <w:t>：人民币 </w:t>
      </w:r>
      <w:r>
        <w:rPr>
          <w:color w:val="333333"/>
        </w:rPr>
        <w:t>490,000.00</w:t>
      </w:r>
      <w:r>
        <w:rPr>
          <w:color w:val="333333"/>
          <w:spacing w:val="-24"/>
        </w:rPr>
        <w:t> 元。</w:t>
      </w:r>
      <w:r>
        <w:rPr>
          <w:color w:val="333333"/>
          <w:spacing w:val="-6"/>
        </w:rPr>
        <w:t>三、采购数量：一批</w:t>
      </w:r>
    </w:p>
    <w:p>
      <w:pPr>
        <w:pStyle w:val="BodyText"/>
        <w:spacing w:before="2"/>
        <w:ind w:left="116"/>
      </w:pPr>
      <w:r>
        <w:rPr>
          <w:color w:val="333333"/>
        </w:rPr>
        <w:t>四、项目内容及要求：（详见招标文件）</w:t>
      </w:r>
    </w:p>
    <w:p>
      <w:pPr>
        <w:pStyle w:val="BodyText"/>
        <w:spacing w:before="2"/>
        <w:rPr>
          <w:sz w:val="22"/>
        </w:rPr>
      </w:pPr>
    </w:p>
    <w:p>
      <w:pPr>
        <w:pStyle w:val="ListParagraph"/>
        <w:numPr>
          <w:ilvl w:val="0"/>
          <w:numId w:val="1"/>
        </w:numPr>
        <w:tabs>
          <w:tab w:pos="780" w:val="left" w:leader="none"/>
        </w:tabs>
        <w:spacing w:line="242" w:lineRule="auto" w:before="0" w:after="0"/>
        <w:ind w:left="928" w:right="383" w:hanging="569"/>
        <w:jc w:val="left"/>
        <w:rPr>
          <w:sz w:val="28"/>
        </w:rPr>
      </w:pPr>
      <w:r>
        <w:rPr>
          <w:color w:val="333333"/>
          <w:spacing w:val="-3"/>
          <w:sz w:val="28"/>
        </w:rPr>
        <w:t>项目内容:广东省农村信用社联合社数据中心机房冷却塔更换及其相关服务项目。</w:t>
      </w:r>
    </w:p>
    <w:p>
      <w:pPr>
        <w:pStyle w:val="BodyText"/>
        <w:spacing w:before="2"/>
        <w:rPr>
          <w:sz w:val="22"/>
        </w:rPr>
      </w:pPr>
    </w:p>
    <w:p>
      <w:pPr>
        <w:pStyle w:val="ListParagraph"/>
        <w:numPr>
          <w:ilvl w:val="0"/>
          <w:numId w:val="1"/>
        </w:numPr>
        <w:tabs>
          <w:tab w:pos="780" w:val="left" w:leader="none"/>
        </w:tabs>
        <w:spacing w:line="240" w:lineRule="auto" w:before="0" w:after="0"/>
        <w:ind w:left="779" w:right="0" w:hanging="421"/>
        <w:jc w:val="left"/>
        <w:rPr>
          <w:sz w:val="28"/>
        </w:rPr>
      </w:pPr>
      <w:r>
        <w:rPr>
          <w:color w:val="333333"/>
          <w:spacing w:val="-3"/>
          <w:sz w:val="28"/>
        </w:rPr>
        <w:t>招标项目的详细内容及技术参数、执行标准详见招标需求书。</w:t>
      </w:r>
    </w:p>
    <w:p>
      <w:pPr>
        <w:pStyle w:val="BodyText"/>
        <w:spacing w:before="2"/>
        <w:rPr>
          <w:sz w:val="22"/>
        </w:rPr>
      </w:pPr>
    </w:p>
    <w:p>
      <w:pPr>
        <w:pStyle w:val="ListParagraph"/>
        <w:numPr>
          <w:ilvl w:val="0"/>
          <w:numId w:val="1"/>
        </w:numPr>
        <w:tabs>
          <w:tab w:pos="780" w:val="left" w:leader="none"/>
        </w:tabs>
        <w:spacing w:line="242" w:lineRule="auto" w:before="0" w:after="0"/>
        <w:ind w:left="644" w:right="244" w:hanging="286"/>
        <w:jc w:val="left"/>
        <w:rPr>
          <w:sz w:val="28"/>
        </w:rPr>
      </w:pPr>
      <w:r>
        <w:rPr>
          <w:color w:val="333333"/>
          <w:spacing w:val="-3"/>
          <w:sz w:val="28"/>
        </w:rPr>
        <w:t>投标人应对项目所有的标的物进行投标，不允许只对其中部分内容进行投标。</w:t>
      </w:r>
    </w:p>
    <w:p>
      <w:pPr>
        <w:pStyle w:val="BodyText"/>
        <w:spacing w:before="12"/>
        <w:rPr>
          <w:sz w:val="21"/>
        </w:rPr>
      </w:pPr>
    </w:p>
    <w:p>
      <w:pPr>
        <w:pStyle w:val="BodyText"/>
        <w:ind w:left="116"/>
      </w:pPr>
      <w:r>
        <w:rPr>
          <w:color w:val="333333"/>
        </w:rPr>
        <w:t>五、供应商资格：</w:t>
      </w:r>
    </w:p>
    <w:p>
      <w:pPr>
        <w:pStyle w:val="BodyText"/>
        <w:spacing w:before="3"/>
        <w:rPr>
          <w:sz w:val="22"/>
        </w:rPr>
      </w:pPr>
    </w:p>
    <w:p>
      <w:pPr>
        <w:pStyle w:val="ListParagraph"/>
        <w:numPr>
          <w:ilvl w:val="0"/>
          <w:numId w:val="2"/>
        </w:numPr>
        <w:tabs>
          <w:tab w:pos="506" w:val="left" w:leader="none"/>
        </w:tabs>
        <w:spacing w:line="242" w:lineRule="auto" w:before="0" w:after="0"/>
        <w:ind w:left="644" w:right="239" w:hanging="420"/>
        <w:jc w:val="left"/>
        <w:rPr>
          <w:sz w:val="28"/>
        </w:rPr>
      </w:pPr>
      <w:r>
        <w:rPr>
          <w:color w:val="333333"/>
          <w:spacing w:val="-3"/>
          <w:sz w:val="28"/>
        </w:rPr>
        <w:t>具有独立承担民事责任能力的在中华人民共和国境内依法注册的法人或其他组织。</w:t>
      </w:r>
    </w:p>
    <w:p>
      <w:pPr>
        <w:pStyle w:val="BodyText"/>
        <w:spacing w:before="11"/>
        <w:rPr>
          <w:sz w:val="21"/>
        </w:rPr>
      </w:pPr>
    </w:p>
    <w:p>
      <w:pPr>
        <w:pStyle w:val="ListParagraph"/>
        <w:numPr>
          <w:ilvl w:val="0"/>
          <w:numId w:val="2"/>
        </w:numPr>
        <w:tabs>
          <w:tab w:pos="506" w:val="left" w:leader="none"/>
        </w:tabs>
        <w:spacing w:line="242" w:lineRule="auto" w:before="1" w:after="0"/>
        <w:ind w:left="644" w:right="239" w:hanging="420"/>
        <w:jc w:val="left"/>
        <w:rPr>
          <w:sz w:val="28"/>
        </w:rPr>
      </w:pPr>
      <w:r>
        <w:rPr>
          <w:color w:val="333333"/>
          <w:spacing w:val="-3"/>
          <w:sz w:val="28"/>
        </w:rPr>
        <w:t>参加本项目采购活动前三年内没有违法、违规或其他不良纪录； </w:t>
      </w:r>
      <w:r>
        <w:rPr>
          <w:color w:val="333333"/>
          <w:spacing w:val="-37"/>
          <w:sz w:val="28"/>
        </w:rPr>
        <w:t>近 </w:t>
      </w:r>
      <w:r>
        <w:rPr>
          <w:color w:val="333333"/>
          <w:sz w:val="28"/>
        </w:rPr>
        <w:t>3</w:t>
      </w:r>
      <w:r>
        <w:rPr>
          <w:color w:val="333333"/>
          <w:spacing w:val="-10"/>
          <w:sz w:val="28"/>
        </w:rPr>
        <w:t> 年内未因执业活动受到行政主管部门行政处罚</w:t>
      </w:r>
      <w:r>
        <w:rPr>
          <w:color w:val="333333"/>
          <w:sz w:val="28"/>
        </w:rPr>
        <w:t>（</w:t>
      </w:r>
      <w:r>
        <w:rPr>
          <w:color w:val="333333"/>
          <w:spacing w:val="-2"/>
          <w:sz w:val="28"/>
        </w:rPr>
        <w:t>须提交有</w:t>
      </w:r>
      <w:r>
        <w:rPr>
          <w:color w:val="333333"/>
          <w:spacing w:val="-3"/>
          <w:sz w:val="28"/>
        </w:rPr>
        <w:t>关证明材料并加盖公章</w:t>
      </w:r>
      <w:r>
        <w:rPr>
          <w:color w:val="333333"/>
          <w:sz w:val="28"/>
        </w:rPr>
        <w:t>）</w:t>
      </w:r>
      <w:r>
        <w:rPr>
          <w:color w:val="333333"/>
          <w:spacing w:val="-3"/>
          <w:sz w:val="28"/>
        </w:rPr>
        <w:t>；没有被行政主管部门取消投标资格且仍在被处罚期内。</w:t>
      </w:r>
    </w:p>
    <w:p>
      <w:pPr>
        <w:pStyle w:val="BodyText"/>
        <w:spacing w:before="1"/>
        <w:rPr>
          <w:sz w:val="22"/>
        </w:rPr>
      </w:pPr>
    </w:p>
    <w:p>
      <w:pPr>
        <w:pStyle w:val="ListParagraph"/>
        <w:numPr>
          <w:ilvl w:val="0"/>
          <w:numId w:val="2"/>
        </w:numPr>
        <w:tabs>
          <w:tab w:pos="506" w:val="left" w:leader="none"/>
        </w:tabs>
        <w:spacing w:line="242" w:lineRule="auto" w:before="0" w:after="0"/>
        <w:ind w:left="644" w:right="239" w:hanging="420"/>
        <w:jc w:val="left"/>
        <w:rPr>
          <w:sz w:val="28"/>
        </w:rPr>
      </w:pPr>
      <w:r>
        <w:rPr>
          <w:color w:val="333333"/>
          <w:spacing w:val="-3"/>
          <w:sz w:val="28"/>
        </w:rPr>
        <w:t>与招标人存在利害关系可能影响招标公正性的法人、其他组织或者个人，不得参加投标。单位负责人为同一人或者存在控股、管理关系的不同单位，不得参加同一标段投标或者未划分标段的同一招标项目投标。违反前两款规定的，相关投标均无效。</w:t>
      </w:r>
    </w:p>
    <w:p>
      <w:pPr>
        <w:spacing w:after="0" w:line="242" w:lineRule="auto"/>
        <w:jc w:val="left"/>
        <w:rPr>
          <w:sz w:val="28"/>
        </w:rPr>
        <w:sectPr>
          <w:type w:val="continuous"/>
          <w:pgSz w:w="11910" w:h="16840"/>
          <w:pgMar w:top="1380" w:bottom="280" w:left="1640" w:right="1680"/>
        </w:sectPr>
      </w:pPr>
    </w:p>
    <w:p>
      <w:pPr>
        <w:pStyle w:val="ListParagraph"/>
        <w:numPr>
          <w:ilvl w:val="0"/>
          <w:numId w:val="2"/>
        </w:numPr>
        <w:tabs>
          <w:tab w:pos="506" w:val="left" w:leader="none"/>
        </w:tabs>
        <w:spacing w:line="242" w:lineRule="auto" w:before="43" w:after="0"/>
        <w:ind w:left="644" w:right="239" w:hanging="420"/>
        <w:jc w:val="left"/>
        <w:rPr>
          <w:sz w:val="28"/>
        </w:rPr>
      </w:pPr>
      <w:r>
        <w:rPr>
          <w:color w:val="333333"/>
          <w:spacing w:val="-3"/>
          <w:sz w:val="28"/>
        </w:rPr>
        <w:t>截止至本项目招标公告发布之日，未被纳入招标人供应商黑名单之内</w:t>
      </w:r>
      <w:r>
        <w:rPr>
          <w:color w:val="333333"/>
          <w:sz w:val="28"/>
        </w:rPr>
        <w:t>（</w:t>
      </w:r>
      <w:r>
        <w:rPr>
          <w:color w:val="333333"/>
          <w:spacing w:val="-3"/>
          <w:sz w:val="28"/>
        </w:rPr>
        <w:t>截止本项目投标截止日，已解除黑名单处罚的除外）</w:t>
      </w:r>
      <w:r>
        <w:rPr>
          <w:color w:val="333333"/>
          <w:sz w:val="28"/>
        </w:rPr>
        <w:t>及</w:t>
      </w:r>
      <w:r>
        <w:rPr>
          <w:color w:val="333333"/>
          <w:spacing w:val="-3"/>
          <w:sz w:val="28"/>
        </w:rPr>
        <w:t>与招标人无合同纠纷。若投标人在招标人供应商黑名单有效期之内或与招标人存在合同纠纷，则该投标人及其所授权的代理人的投标无效。</w:t>
      </w:r>
    </w:p>
    <w:p>
      <w:pPr>
        <w:pStyle w:val="BodyText"/>
        <w:spacing w:before="1"/>
        <w:rPr>
          <w:sz w:val="22"/>
        </w:rPr>
      </w:pPr>
    </w:p>
    <w:p>
      <w:pPr>
        <w:pStyle w:val="ListParagraph"/>
        <w:numPr>
          <w:ilvl w:val="0"/>
          <w:numId w:val="2"/>
        </w:numPr>
        <w:tabs>
          <w:tab w:pos="506" w:val="left" w:leader="none"/>
        </w:tabs>
        <w:spacing w:line="240" w:lineRule="auto" w:before="0" w:after="0"/>
        <w:ind w:left="505" w:right="0" w:hanging="282"/>
        <w:jc w:val="left"/>
        <w:rPr>
          <w:sz w:val="28"/>
        </w:rPr>
      </w:pPr>
      <w:r>
        <w:rPr>
          <w:color w:val="333333"/>
          <w:spacing w:val="-3"/>
          <w:sz w:val="28"/>
        </w:rPr>
        <w:t>投标人具有有效的安全生产许可证。</w:t>
      </w:r>
    </w:p>
    <w:p>
      <w:pPr>
        <w:pStyle w:val="BodyText"/>
        <w:spacing w:before="3"/>
        <w:rPr>
          <w:sz w:val="22"/>
        </w:rPr>
      </w:pPr>
    </w:p>
    <w:p>
      <w:pPr>
        <w:pStyle w:val="ListParagraph"/>
        <w:numPr>
          <w:ilvl w:val="0"/>
          <w:numId w:val="2"/>
        </w:numPr>
        <w:tabs>
          <w:tab w:pos="506" w:val="left" w:leader="none"/>
        </w:tabs>
        <w:spacing w:line="244" w:lineRule="auto" w:before="0" w:after="0"/>
        <w:ind w:left="644" w:right="239" w:hanging="420"/>
        <w:jc w:val="left"/>
        <w:rPr>
          <w:sz w:val="28"/>
        </w:rPr>
      </w:pPr>
      <w:r>
        <w:rPr>
          <w:color w:val="333333"/>
          <w:spacing w:val="-3"/>
          <w:sz w:val="28"/>
        </w:rPr>
        <w:t>投标人具有电子与智能化工程专业承包叁级（</w:t>
      </w:r>
      <w:r>
        <w:rPr>
          <w:color w:val="333333"/>
          <w:spacing w:val="-2"/>
          <w:sz w:val="28"/>
        </w:rPr>
        <w:t>或以上，壹级为最高</w:t>
      </w:r>
      <w:r>
        <w:rPr>
          <w:color w:val="333333"/>
          <w:spacing w:val="-3"/>
          <w:sz w:val="28"/>
        </w:rPr>
        <w:t>）</w:t>
      </w:r>
      <w:r>
        <w:rPr>
          <w:color w:val="333333"/>
          <w:spacing w:val="-1"/>
          <w:sz w:val="28"/>
        </w:rPr>
        <w:t>资质证书。</w:t>
      </w:r>
    </w:p>
    <w:p>
      <w:pPr>
        <w:pStyle w:val="BodyText"/>
        <w:spacing w:before="7"/>
        <w:rPr>
          <w:sz w:val="21"/>
        </w:rPr>
      </w:pPr>
    </w:p>
    <w:p>
      <w:pPr>
        <w:pStyle w:val="ListParagraph"/>
        <w:numPr>
          <w:ilvl w:val="0"/>
          <w:numId w:val="2"/>
        </w:numPr>
        <w:tabs>
          <w:tab w:pos="506" w:val="left" w:leader="none"/>
        </w:tabs>
        <w:spacing w:line="242" w:lineRule="auto" w:before="0" w:after="0"/>
        <w:ind w:left="644" w:right="239" w:hanging="420"/>
        <w:jc w:val="left"/>
        <w:rPr>
          <w:sz w:val="28"/>
        </w:rPr>
      </w:pPr>
      <w:r>
        <w:rPr>
          <w:color w:val="333333"/>
          <w:spacing w:val="-3"/>
          <w:sz w:val="28"/>
        </w:rPr>
        <w:t>投标人具有建筑机电设备安装工程专业承包叁级</w:t>
      </w:r>
      <w:r>
        <w:rPr>
          <w:color w:val="333333"/>
          <w:sz w:val="28"/>
        </w:rPr>
        <w:t>（</w:t>
      </w:r>
      <w:r>
        <w:rPr>
          <w:color w:val="333333"/>
          <w:spacing w:val="-3"/>
          <w:sz w:val="28"/>
        </w:rPr>
        <w:t>或以上，壹级</w:t>
      </w:r>
      <w:r>
        <w:rPr>
          <w:color w:val="333333"/>
          <w:spacing w:val="-2"/>
          <w:sz w:val="28"/>
        </w:rPr>
        <w:t>为最高</w:t>
      </w:r>
      <w:r>
        <w:rPr>
          <w:color w:val="333333"/>
          <w:sz w:val="28"/>
        </w:rPr>
        <w:t>）</w:t>
      </w:r>
      <w:r>
        <w:rPr>
          <w:color w:val="333333"/>
          <w:spacing w:val="-3"/>
          <w:sz w:val="28"/>
        </w:rPr>
        <w:t>资质证书。</w:t>
      </w:r>
    </w:p>
    <w:p>
      <w:pPr>
        <w:pStyle w:val="BodyText"/>
        <w:spacing w:before="11"/>
        <w:rPr>
          <w:sz w:val="21"/>
        </w:rPr>
      </w:pPr>
    </w:p>
    <w:p>
      <w:pPr>
        <w:pStyle w:val="BodyText"/>
        <w:spacing w:line="242" w:lineRule="auto" w:before="1"/>
        <w:ind w:left="640" w:right="107" w:hanging="420"/>
      </w:pPr>
      <w:r>
        <w:rPr>
          <w:color w:val="333333"/>
        </w:rPr>
        <w:t>8.2017 年至今，投标人具有电子计算机机房冷却水循环系统或中央空调系统（含冷却塔）建设工程案例，案例中的冷却水循环系统或中央空调系统（含冷却塔）必须为电子计算机机房专用。投标人需提供以下任意一种证明材料：</w:t>
      </w:r>
    </w:p>
    <w:p>
      <w:pPr>
        <w:pStyle w:val="BodyText"/>
        <w:spacing w:before="1"/>
        <w:rPr>
          <w:sz w:val="22"/>
        </w:rPr>
      </w:pPr>
    </w:p>
    <w:p>
      <w:pPr>
        <w:pStyle w:val="BodyText"/>
        <w:spacing w:line="242" w:lineRule="auto"/>
        <w:ind w:left="640" w:right="244"/>
      </w:pPr>
      <w:r>
        <w:rPr>
          <w:color w:val="333333"/>
        </w:rPr>
        <w:t>A、机房建设合同复印件，另附该合同包括冷却水循环系统或中央空调系统（含冷却塔）建设分项的关键页；</w:t>
      </w:r>
    </w:p>
    <w:p>
      <w:pPr>
        <w:pStyle w:val="BodyText"/>
        <w:spacing w:before="12"/>
        <w:rPr>
          <w:sz w:val="21"/>
        </w:rPr>
      </w:pPr>
    </w:p>
    <w:p>
      <w:pPr>
        <w:pStyle w:val="BodyText"/>
        <w:spacing w:line="244" w:lineRule="auto"/>
        <w:ind w:left="640" w:right="244"/>
      </w:pPr>
      <w:r>
        <w:rPr>
          <w:color w:val="333333"/>
        </w:rPr>
        <w:t>B、机房建设合同复印件，另附该合同甲方关于合同内容包括冷却水循环系统或中央空调系统（含冷却塔）建设分项的证明</w:t>
      </w:r>
    </w:p>
    <w:p>
      <w:pPr>
        <w:pStyle w:val="BodyText"/>
        <w:spacing w:line="354" w:lineRule="exact"/>
        <w:ind w:left="640"/>
      </w:pPr>
      <w:r>
        <w:rPr>
          <w:color w:val="333333"/>
        </w:rPr>
        <w:t>（证明须加盖该合同甲方公章）；</w:t>
      </w:r>
    </w:p>
    <w:p>
      <w:pPr>
        <w:pStyle w:val="BodyText"/>
        <w:spacing w:before="2"/>
        <w:rPr>
          <w:sz w:val="22"/>
        </w:rPr>
      </w:pPr>
    </w:p>
    <w:p>
      <w:pPr>
        <w:pStyle w:val="BodyText"/>
        <w:spacing w:line="242" w:lineRule="auto" w:before="1"/>
        <w:ind w:left="640" w:right="244"/>
      </w:pPr>
      <w:r>
        <w:rPr>
          <w:color w:val="333333"/>
        </w:rPr>
        <w:t>C、冷却水循环系统或中央空调系统（含冷却塔）建设合同，另附该合同工程为计算机机房专用的关键页；</w:t>
      </w:r>
    </w:p>
    <w:p>
      <w:pPr>
        <w:pStyle w:val="BodyText"/>
        <w:spacing w:before="11"/>
        <w:rPr>
          <w:sz w:val="21"/>
        </w:rPr>
      </w:pPr>
    </w:p>
    <w:p>
      <w:pPr>
        <w:pStyle w:val="BodyText"/>
        <w:spacing w:line="242" w:lineRule="auto" w:before="1"/>
        <w:ind w:left="640" w:right="244"/>
      </w:pPr>
      <w:r>
        <w:rPr>
          <w:color w:val="333333"/>
        </w:rPr>
        <w:t>D、冷却水循环系统或中央空调系统（含冷却塔）建设合同，另附该合同甲方关于本合同工程为计算机机房专用的证明（证明须加盖该合同甲方公章）。</w:t>
      </w:r>
    </w:p>
    <w:p>
      <w:pPr>
        <w:pStyle w:val="BodyText"/>
        <w:spacing w:before="1"/>
        <w:rPr>
          <w:sz w:val="22"/>
        </w:rPr>
      </w:pPr>
    </w:p>
    <w:p>
      <w:pPr>
        <w:pStyle w:val="ListParagraph"/>
        <w:numPr>
          <w:ilvl w:val="0"/>
          <w:numId w:val="3"/>
        </w:numPr>
        <w:tabs>
          <w:tab w:pos="506" w:val="left" w:leader="none"/>
        </w:tabs>
        <w:spacing w:line="240" w:lineRule="auto" w:before="0" w:after="0"/>
        <w:ind w:left="505" w:right="0" w:hanging="282"/>
        <w:jc w:val="left"/>
        <w:rPr>
          <w:sz w:val="28"/>
        </w:rPr>
      </w:pPr>
      <w:r>
        <w:rPr>
          <w:color w:val="333333"/>
          <w:spacing w:val="-3"/>
          <w:sz w:val="28"/>
        </w:rPr>
        <w:t>本项目只接受报名并购买了招标文件的单位提交的投标文件。</w:t>
      </w:r>
    </w:p>
    <w:p>
      <w:pPr>
        <w:pStyle w:val="BodyText"/>
        <w:spacing w:before="2"/>
        <w:rPr>
          <w:sz w:val="22"/>
        </w:rPr>
      </w:pPr>
    </w:p>
    <w:p>
      <w:pPr>
        <w:pStyle w:val="ListParagraph"/>
        <w:numPr>
          <w:ilvl w:val="0"/>
          <w:numId w:val="3"/>
        </w:numPr>
        <w:tabs>
          <w:tab w:pos="643" w:val="left" w:leader="none"/>
        </w:tabs>
        <w:spacing w:line="240" w:lineRule="auto" w:before="1" w:after="0"/>
        <w:ind w:left="642" w:right="0" w:hanging="423"/>
        <w:jc w:val="left"/>
        <w:rPr>
          <w:sz w:val="28"/>
        </w:rPr>
      </w:pPr>
      <w:r>
        <w:rPr>
          <w:color w:val="333333"/>
          <w:spacing w:val="-3"/>
          <w:sz w:val="28"/>
        </w:rPr>
        <w:t>投标人未被列入“信用中国”网站</w:t>
      </w:r>
    </w:p>
    <w:p>
      <w:pPr>
        <w:pStyle w:val="BodyText"/>
        <w:spacing w:line="242" w:lineRule="auto" w:before="3"/>
        <w:ind w:left="640" w:right="383"/>
      </w:pPr>
      <w:r>
        <w:rPr>
          <w:color w:val="333333"/>
        </w:rPr>
        <w:t>（</w:t>
      </w:r>
      <w:hyperlink r:id="rId5">
        <w:r>
          <w:rPr>
            <w:color w:val="333333"/>
          </w:rPr>
          <w:t>www.creditchina.gov.cn</w:t>
        </w:r>
      </w:hyperlink>
      <w:r>
        <w:rPr>
          <w:color w:val="333333"/>
        </w:rPr>
        <w:t>）“记录失信被执行人或重大税收违法案件当事人名单或政府采购严重违法失信行为”记录名</w:t>
      </w:r>
    </w:p>
    <w:p>
      <w:pPr>
        <w:pStyle w:val="BodyText"/>
        <w:spacing w:line="244" w:lineRule="auto"/>
        <w:ind w:left="640" w:right="242"/>
      </w:pPr>
      <w:r>
        <w:rPr>
          <w:color w:val="333333"/>
        </w:rPr>
        <w:t>单；不处于中国政府采购网（</w:t>
      </w:r>
      <w:hyperlink r:id="rId6">
        <w:r>
          <w:rPr>
            <w:color w:val="333333"/>
          </w:rPr>
          <w:t>www.ccgp.gov.cn</w:t>
        </w:r>
      </w:hyperlink>
      <w:r>
        <w:rPr>
          <w:color w:val="333333"/>
        </w:rPr>
        <w:t>）“政府采购严重违法失信行为信息记录”中的禁止参加政府采购活动期间。</w:t>
      </w:r>
    </w:p>
    <w:p>
      <w:pPr>
        <w:spacing w:after="0" w:line="244" w:lineRule="auto"/>
        <w:sectPr>
          <w:pgSz w:w="11910" w:h="16840"/>
          <w:pgMar w:top="1380" w:bottom="280" w:left="1640" w:right="1680"/>
        </w:sectPr>
      </w:pPr>
    </w:p>
    <w:p>
      <w:pPr>
        <w:pStyle w:val="BodyText"/>
        <w:spacing w:before="43"/>
        <w:ind w:left="640"/>
      </w:pPr>
      <w:r>
        <w:rPr>
          <w:color w:val="333333"/>
        </w:rPr>
        <w:t>（投标人须提供“信用中国”网站</w:t>
      </w:r>
    </w:p>
    <w:p>
      <w:pPr>
        <w:pStyle w:val="BodyText"/>
        <w:spacing w:before="6"/>
        <w:ind w:left="640"/>
      </w:pPr>
      <w:r>
        <w:rPr>
          <w:color w:val="333333"/>
        </w:rPr>
        <w:t>（</w:t>
      </w:r>
      <w:hyperlink r:id="rId5">
        <w:r>
          <w:rPr>
            <w:color w:val="333333"/>
          </w:rPr>
          <w:t>www.creditchina.gov.cn</w:t>
        </w:r>
      </w:hyperlink>
      <w:r>
        <w:rPr>
          <w:color w:val="333333"/>
        </w:rPr>
        <w:t>）及中国政府采购网</w:t>
      </w:r>
    </w:p>
    <w:p>
      <w:pPr>
        <w:pStyle w:val="BodyText"/>
        <w:spacing w:line="242" w:lineRule="auto" w:before="3"/>
        <w:ind w:left="640" w:right="244"/>
      </w:pPr>
      <w:r>
        <w:rPr>
          <w:color w:val="333333"/>
        </w:rPr>
        <w:t>（</w:t>
      </w:r>
      <w:hyperlink r:id="rId6">
        <w:r>
          <w:rPr>
            <w:color w:val="333333"/>
          </w:rPr>
          <w:t>www.ccgp.gov.cn</w:t>
        </w:r>
      </w:hyperlink>
      <w:r>
        <w:rPr>
          <w:color w:val="333333"/>
        </w:rPr>
        <w:t>）查询结果截图，如相关失信记录已失效， 供应商需提供相关证明资料扫描件）。</w:t>
      </w:r>
    </w:p>
    <w:p>
      <w:pPr>
        <w:pStyle w:val="BodyText"/>
        <w:spacing w:before="12"/>
        <w:rPr>
          <w:sz w:val="21"/>
        </w:rPr>
      </w:pPr>
    </w:p>
    <w:p>
      <w:pPr>
        <w:pStyle w:val="ListParagraph"/>
        <w:numPr>
          <w:ilvl w:val="0"/>
          <w:numId w:val="3"/>
        </w:numPr>
        <w:tabs>
          <w:tab w:pos="648" w:val="left" w:leader="none"/>
        </w:tabs>
        <w:spacing w:line="240" w:lineRule="auto" w:before="0" w:after="0"/>
        <w:ind w:left="647" w:right="0" w:hanging="424"/>
        <w:jc w:val="left"/>
        <w:rPr>
          <w:sz w:val="28"/>
        </w:rPr>
      </w:pPr>
      <w:r>
        <w:rPr>
          <w:color w:val="333333"/>
          <w:spacing w:val="-3"/>
          <w:sz w:val="28"/>
        </w:rPr>
        <w:t>本项目不接受联合体投标。</w:t>
      </w:r>
    </w:p>
    <w:p>
      <w:pPr>
        <w:pStyle w:val="BodyText"/>
        <w:spacing w:before="2"/>
        <w:rPr>
          <w:sz w:val="22"/>
        </w:rPr>
      </w:pPr>
    </w:p>
    <w:p>
      <w:pPr>
        <w:pStyle w:val="BodyText"/>
        <w:spacing w:before="1"/>
        <w:ind w:left="116"/>
      </w:pPr>
      <w:r>
        <w:rPr>
          <w:color w:val="333333"/>
          <w:spacing w:val="-8"/>
        </w:rPr>
        <w:t>六、符合资格的供应商应当在 </w:t>
      </w:r>
      <w:r>
        <w:rPr>
          <w:color w:val="333333"/>
        </w:rPr>
        <w:t>2020</w:t>
      </w:r>
      <w:r>
        <w:rPr>
          <w:color w:val="333333"/>
          <w:spacing w:val="-47"/>
        </w:rPr>
        <w:t> 年 </w:t>
      </w:r>
      <w:r>
        <w:rPr>
          <w:color w:val="333333"/>
        </w:rPr>
        <w:t>12</w:t>
      </w:r>
      <w:r>
        <w:rPr>
          <w:color w:val="333333"/>
          <w:spacing w:val="-48"/>
        </w:rPr>
        <w:t> 月 </w:t>
      </w:r>
      <w:r>
        <w:rPr>
          <w:color w:val="333333"/>
        </w:rPr>
        <w:t>7</w:t>
      </w:r>
      <w:r>
        <w:rPr>
          <w:color w:val="333333"/>
          <w:spacing w:val="-30"/>
        </w:rPr>
        <w:t> 日起至 </w:t>
      </w:r>
      <w:r>
        <w:rPr>
          <w:color w:val="333333"/>
        </w:rPr>
        <w:t>2020</w:t>
      </w:r>
      <w:r>
        <w:rPr>
          <w:color w:val="333333"/>
          <w:spacing w:val="-48"/>
        </w:rPr>
        <w:t> 年 </w:t>
      </w:r>
      <w:r>
        <w:rPr>
          <w:color w:val="333333"/>
        </w:rPr>
        <w:t>12</w:t>
      </w:r>
      <w:r>
        <w:rPr>
          <w:color w:val="333333"/>
          <w:spacing w:val="-36"/>
        </w:rPr>
        <w:t> 月</w:t>
      </w:r>
    </w:p>
    <w:p>
      <w:pPr>
        <w:pStyle w:val="BodyText"/>
        <w:spacing w:line="242" w:lineRule="auto" w:before="3"/>
        <w:ind w:left="644" w:right="239"/>
      </w:pPr>
      <w:r>
        <w:rPr>
          <w:color w:val="333333"/>
        </w:rPr>
        <w:t>25</w:t>
      </w:r>
      <w:r>
        <w:rPr>
          <w:color w:val="333333"/>
          <w:spacing w:val="-20"/>
        </w:rPr>
        <w:t> 日期间</w:t>
      </w:r>
      <w:r>
        <w:rPr>
          <w:color w:val="333333"/>
        </w:rPr>
        <w:t>（</w:t>
      </w:r>
      <w:r>
        <w:rPr>
          <w:color w:val="333333"/>
          <w:spacing w:val="-14"/>
        </w:rPr>
        <w:t>工作日上午 </w:t>
      </w:r>
      <w:r>
        <w:rPr>
          <w:color w:val="333333"/>
        </w:rPr>
        <w:t>9:00-12:00</w:t>
      </w:r>
      <w:r>
        <w:rPr>
          <w:color w:val="333333"/>
          <w:spacing w:val="-31"/>
        </w:rPr>
        <w:t> 和下午 </w:t>
      </w:r>
      <w:r>
        <w:rPr>
          <w:color w:val="333333"/>
        </w:rPr>
        <w:t>14:00-17:30</w:t>
      </w:r>
      <w:r>
        <w:rPr>
          <w:color w:val="333333"/>
          <w:spacing w:val="-2"/>
        </w:rPr>
        <w:t>，法定</w:t>
      </w:r>
      <w:r>
        <w:rPr>
          <w:color w:val="333333"/>
          <w:spacing w:val="-3"/>
        </w:rPr>
        <w:t>节假日除外</w:t>
      </w:r>
      <w:r>
        <w:rPr>
          <w:color w:val="333333"/>
        </w:rPr>
        <w:t>）</w:t>
      </w:r>
      <w:r>
        <w:rPr>
          <w:color w:val="333333"/>
          <w:spacing w:val="-3"/>
        </w:rPr>
        <w:t>到</w:t>
      </w:r>
      <w:r>
        <w:rPr>
          <w:color w:val="333333"/>
          <w:spacing w:val="-3"/>
          <w:u w:val="single" w:color="333333"/>
        </w:rPr>
        <w:t>广东志正招标有限公司</w:t>
      </w:r>
      <w:r>
        <w:rPr>
          <w:color w:val="333333"/>
        </w:rPr>
        <w:t>（</w:t>
      </w:r>
      <w:r>
        <w:rPr>
          <w:color w:val="333333"/>
          <w:spacing w:val="-3"/>
        </w:rPr>
        <w:t>详细地址：</w:t>
      </w:r>
      <w:r>
        <w:rPr>
          <w:color w:val="333333"/>
          <w:spacing w:val="-2"/>
          <w:u w:val="single" w:color="333333"/>
        </w:rPr>
        <w:t>广州市天</w:t>
      </w:r>
      <w:r>
        <w:rPr>
          <w:color w:val="333333"/>
          <w:spacing w:val="-14"/>
          <w:u w:val="single" w:color="333333"/>
        </w:rPr>
        <w:t>河区龙怡路 </w:t>
      </w:r>
      <w:r>
        <w:rPr>
          <w:color w:val="333333"/>
          <w:u w:val="single" w:color="333333"/>
        </w:rPr>
        <w:t>117</w:t>
      </w:r>
      <w:r>
        <w:rPr>
          <w:color w:val="333333"/>
          <w:spacing w:val="-36"/>
          <w:u w:val="single" w:color="333333"/>
        </w:rPr>
        <w:t> 号</w:t>
      </w:r>
      <w:r>
        <w:rPr>
          <w:color w:val="333333"/>
        </w:rPr>
        <w:t>）</w:t>
      </w:r>
      <w:r>
        <w:rPr>
          <w:color w:val="333333"/>
          <w:spacing w:val="-3"/>
        </w:rPr>
        <w:t>购买招标文件。</w:t>
      </w:r>
    </w:p>
    <w:p>
      <w:pPr>
        <w:pStyle w:val="BodyText"/>
        <w:spacing w:before="2"/>
        <w:rPr>
          <w:sz w:val="22"/>
        </w:rPr>
      </w:pPr>
    </w:p>
    <w:p>
      <w:pPr>
        <w:pStyle w:val="BodyText"/>
        <w:spacing w:line="429" w:lineRule="auto"/>
        <w:ind w:left="116" w:right="2307"/>
      </w:pPr>
      <w:r>
        <w:rPr>
          <w:color w:val="333333"/>
          <w:spacing w:val="-3"/>
        </w:rPr>
        <w:t>七、投标截止时间：</w:t>
      </w:r>
      <w:r>
        <w:rPr>
          <w:color w:val="333333"/>
        </w:rPr>
        <w:t>2020</w:t>
      </w:r>
      <w:r>
        <w:rPr>
          <w:color w:val="333333"/>
          <w:spacing w:val="-48"/>
        </w:rPr>
        <w:t> 年 </w:t>
      </w:r>
      <w:r>
        <w:rPr>
          <w:color w:val="333333"/>
        </w:rPr>
        <w:t>12</w:t>
      </w:r>
      <w:r>
        <w:rPr>
          <w:color w:val="333333"/>
          <w:spacing w:val="-48"/>
        </w:rPr>
        <w:t> 月 </w:t>
      </w:r>
      <w:r>
        <w:rPr>
          <w:color w:val="333333"/>
        </w:rPr>
        <w:t>29</w:t>
      </w:r>
      <w:r>
        <w:rPr>
          <w:color w:val="333333"/>
          <w:spacing w:val="-29"/>
        </w:rPr>
        <w:t> 日上午 </w:t>
      </w:r>
      <w:r>
        <w:rPr>
          <w:color w:val="333333"/>
        </w:rPr>
        <w:t>9：30 </w:t>
      </w:r>
      <w:r>
        <w:rPr>
          <w:color w:val="333333"/>
          <w:spacing w:val="-3"/>
        </w:rPr>
        <w:t>八、开标时间：</w:t>
      </w:r>
      <w:r>
        <w:rPr>
          <w:color w:val="333333"/>
        </w:rPr>
        <w:t>2020</w:t>
      </w:r>
      <w:r>
        <w:rPr>
          <w:color w:val="333333"/>
          <w:spacing w:val="-47"/>
        </w:rPr>
        <w:t> 年 </w:t>
      </w:r>
      <w:r>
        <w:rPr>
          <w:color w:val="333333"/>
        </w:rPr>
        <w:t>12</w:t>
      </w:r>
      <w:r>
        <w:rPr>
          <w:color w:val="333333"/>
          <w:spacing w:val="-48"/>
        </w:rPr>
        <w:t> 月 </w:t>
      </w:r>
      <w:r>
        <w:rPr>
          <w:color w:val="333333"/>
        </w:rPr>
        <w:t>29</w:t>
      </w:r>
      <w:r>
        <w:rPr>
          <w:color w:val="333333"/>
          <w:spacing w:val="-30"/>
        </w:rPr>
        <w:t> 日上午 </w:t>
      </w:r>
      <w:r>
        <w:rPr>
          <w:color w:val="333333"/>
        </w:rPr>
        <w:t>9：30</w:t>
      </w:r>
    </w:p>
    <w:p>
      <w:pPr>
        <w:pStyle w:val="BodyText"/>
        <w:spacing w:line="242" w:lineRule="auto" w:before="2"/>
        <w:ind w:left="683" w:right="1319" w:hanging="567"/>
      </w:pPr>
      <w:r>
        <w:rPr>
          <w:color w:val="333333"/>
        </w:rPr>
        <w:t>详 情 请 参 考 链 接 ：</w:t>
      </w:r>
      <w:hyperlink r:id="rId7">
        <w:r>
          <w:rPr>
            <w:color w:val="333333"/>
          </w:rPr>
          <w:t> http://www.zztender.com/tender/5bf4e003ebfca/p-</w:t>
        </w:r>
      </w:hyperlink>
      <w:r>
        <w:rPr>
          <w:color w:val="333333"/>
        </w:rPr>
        <w:t> 5fca078e65d72.html</w:t>
      </w:r>
    </w:p>
    <w:p>
      <w:pPr>
        <w:pStyle w:val="BodyText"/>
      </w:pPr>
    </w:p>
    <w:p>
      <w:pPr>
        <w:pStyle w:val="BodyText"/>
        <w:spacing w:before="2"/>
        <w:rPr>
          <w:sz w:val="40"/>
        </w:rPr>
      </w:pPr>
    </w:p>
    <w:p>
      <w:pPr>
        <w:pStyle w:val="BodyText"/>
        <w:ind w:right="117"/>
        <w:jc w:val="right"/>
      </w:pPr>
      <w:r>
        <w:rPr>
          <w:color w:val="333333"/>
          <w:spacing w:val="-3"/>
        </w:rPr>
        <w:t>广东省农村信用合作社联合社</w:t>
      </w:r>
    </w:p>
    <w:p>
      <w:pPr>
        <w:pStyle w:val="BodyText"/>
        <w:spacing w:before="3"/>
        <w:rPr>
          <w:sz w:val="22"/>
        </w:rPr>
      </w:pPr>
    </w:p>
    <w:p>
      <w:pPr>
        <w:pStyle w:val="BodyText"/>
        <w:ind w:right="117"/>
        <w:jc w:val="right"/>
      </w:pPr>
      <w:r>
        <w:rPr>
          <w:color w:val="333333"/>
        </w:rPr>
        <w:t>2020</w:t>
      </w:r>
      <w:r>
        <w:rPr>
          <w:color w:val="333333"/>
          <w:spacing w:val="-48"/>
        </w:rPr>
        <w:t> 年 </w:t>
      </w:r>
      <w:r>
        <w:rPr>
          <w:color w:val="333333"/>
        </w:rPr>
        <w:t>12</w:t>
      </w:r>
      <w:r>
        <w:rPr>
          <w:color w:val="333333"/>
          <w:spacing w:val="-48"/>
        </w:rPr>
        <w:t> 月 </w:t>
      </w:r>
      <w:r>
        <w:rPr>
          <w:color w:val="333333"/>
        </w:rPr>
        <w:t>4</w:t>
      </w:r>
      <w:r>
        <w:rPr>
          <w:color w:val="333333"/>
          <w:spacing w:val="-36"/>
        </w:rPr>
        <w:t> 日</w:t>
      </w:r>
    </w:p>
    <w:sectPr>
      <w:pgSz w:w="11910" w:h="16840"/>
      <w:pgMar w:top="1380" w:bottom="280" w:left="164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9"/>
      <w:numFmt w:val="decimal"/>
      <w:lvlText w:val="%1."/>
      <w:lvlJc w:val="left"/>
      <w:pPr>
        <w:ind w:left="505" w:hanging="281"/>
        <w:jc w:val="left"/>
      </w:pPr>
      <w:rPr>
        <w:rFonts w:hint="default" w:ascii="宋体" w:hAnsi="宋体" w:eastAsia="宋体" w:cs="宋体"/>
        <w:color w:val="333333"/>
        <w:spacing w:val="-2"/>
        <w:w w:val="100"/>
        <w:sz w:val="26"/>
        <w:szCs w:val="26"/>
        <w:lang w:val="zh-CN" w:eastAsia="zh-CN" w:bidi="zh-CN"/>
      </w:rPr>
    </w:lvl>
    <w:lvl w:ilvl="1">
      <w:start w:val="0"/>
      <w:numFmt w:val="bullet"/>
      <w:lvlText w:val="•"/>
      <w:lvlJc w:val="left"/>
      <w:pPr>
        <w:ind w:left="1308" w:hanging="281"/>
      </w:pPr>
      <w:rPr>
        <w:rFonts w:hint="default"/>
        <w:lang w:val="zh-CN" w:eastAsia="zh-CN" w:bidi="zh-CN"/>
      </w:rPr>
    </w:lvl>
    <w:lvl w:ilvl="2">
      <w:start w:val="0"/>
      <w:numFmt w:val="bullet"/>
      <w:lvlText w:val="•"/>
      <w:lvlJc w:val="left"/>
      <w:pPr>
        <w:ind w:left="2117" w:hanging="281"/>
      </w:pPr>
      <w:rPr>
        <w:rFonts w:hint="default"/>
        <w:lang w:val="zh-CN" w:eastAsia="zh-CN" w:bidi="zh-CN"/>
      </w:rPr>
    </w:lvl>
    <w:lvl w:ilvl="3">
      <w:start w:val="0"/>
      <w:numFmt w:val="bullet"/>
      <w:lvlText w:val="•"/>
      <w:lvlJc w:val="left"/>
      <w:pPr>
        <w:ind w:left="2925" w:hanging="281"/>
      </w:pPr>
      <w:rPr>
        <w:rFonts w:hint="default"/>
        <w:lang w:val="zh-CN" w:eastAsia="zh-CN" w:bidi="zh-CN"/>
      </w:rPr>
    </w:lvl>
    <w:lvl w:ilvl="4">
      <w:start w:val="0"/>
      <w:numFmt w:val="bullet"/>
      <w:lvlText w:val="•"/>
      <w:lvlJc w:val="left"/>
      <w:pPr>
        <w:ind w:left="3734" w:hanging="281"/>
      </w:pPr>
      <w:rPr>
        <w:rFonts w:hint="default"/>
        <w:lang w:val="zh-CN" w:eastAsia="zh-CN" w:bidi="zh-CN"/>
      </w:rPr>
    </w:lvl>
    <w:lvl w:ilvl="5">
      <w:start w:val="0"/>
      <w:numFmt w:val="bullet"/>
      <w:lvlText w:val="•"/>
      <w:lvlJc w:val="left"/>
      <w:pPr>
        <w:ind w:left="4543" w:hanging="281"/>
      </w:pPr>
      <w:rPr>
        <w:rFonts w:hint="default"/>
        <w:lang w:val="zh-CN" w:eastAsia="zh-CN" w:bidi="zh-CN"/>
      </w:rPr>
    </w:lvl>
    <w:lvl w:ilvl="6">
      <w:start w:val="0"/>
      <w:numFmt w:val="bullet"/>
      <w:lvlText w:val="•"/>
      <w:lvlJc w:val="left"/>
      <w:pPr>
        <w:ind w:left="5351" w:hanging="281"/>
      </w:pPr>
      <w:rPr>
        <w:rFonts w:hint="default"/>
        <w:lang w:val="zh-CN" w:eastAsia="zh-CN" w:bidi="zh-CN"/>
      </w:rPr>
    </w:lvl>
    <w:lvl w:ilvl="7">
      <w:start w:val="0"/>
      <w:numFmt w:val="bullet"/>
      <w:lvlText w:val="•"/>
      <w:lvlJc w:val="left"/>
      <w:pPr>
        <w:ind w:left="6160" w:hanging="281"/>
      </w:pPr>
      <w:rPr>
        <w:rFonts w:hint="default"/>
        <w:lang w:val="zh-CN" w:eastAsia="zh-CN" w:bidi="zh-CN"/>
      </w:rPr>
    </w:lvl>
    <w:lvl w:ilvl="8">
      <w:start w:val="0"/>
      <w:numFmt w:val="bullet"/>
      <w:lvlText w:val="•"/>
      <w:lvlJc w:val="left"/>
      <w:pPr>
        <w:ind w:left="6968" w:hanging="281"/>
      </w:pPr>
      <w:rPr>
        <w:rFonts w:hint="default"/>
        <w:lang w:val="zh-CN" w:eastAsia="zh-CN" w:bidi="zh-CN"/>
      </w:rPr>
    </w:lvl>
  </w:abstractNum>
  <w:abstractNum w:abstractNumId="1">
    <w:multiLevelType w:val="hybridMultilevel"/>
    <w:lvl w:ilvl="0">
      <w:start w:val="1"/>
      <w:numFmt w:val="decimal"/>
      <w:lvlText w:val="%1."/>
      <w:lvlJc w:val="left"/>
      <w:pPr>
        <w:ind w:left="644" w:hanging="281"/>
        <w:jc w:val="left"/>
      </w:pPr>
      <w:rPr>
        <w:rFonts w:hint="default" w:ascii="宋体" w:hAnsi="宋体" w:eastAsia="宋体" w:cs="宋体"/>
        <w:color w:val="333333"/>
        <w:spacing w:val="-2"/>
        <w:w w:val="100"/>
        <w:sz w:val="26"/>
        <w:szCs w:val="26"/>
        <w:lang w:val="zh-CN" w:eastAsia="zh-CN" w:bidi="zh-CN"/>
      </w:rPr>
    </w:lvl>
    <w:lvl w:ilvl="1">
      <w:start w:val="0"/>
      <w:numFmt w:val="bullet"/>
      <w:lvlText w:val="•"/>
      <w:lvlJc w:val="left"/>
      <w:pPr>
        <w:ind w:left="1434" w:hanging="281"/>
      </w:pPr>
      <w:rPr>
        <w:rFonts w:hint="default"/>
        <w:lang w:val="zh-CN" w:eastAsia="zh-CN" w:bidi="zh-CN"/>
      </w:rPr>
    </w:lvl>
    <w:lvl w:ilvl="2">
      <w:start w:val="0"/>
      <w:numFmt w:val="bullet"/>
      <w:lvlText w:val="•"/>
      <w:lvlJc w:val="left"/>
      <w:pPr>
        <w:ind w:left="2229" w:hanging="281"/>
      </w:pPr>
      <w:rPr>
        <w:rFonts w:hint="default"/>
        <w:lang w:val="zh-CN" w:eastAsia="zh-CN" w:bidi="zh-CN"/>
      </w:rPr>
    </w:lvl>
    <w:lvl w:ilvl="3">
      <w:start w:val="0"/>
      <w:numFmt w:val="bullet"/>
      <w:lvlText w:val="•"/>
      <w:lvlJc w:val="left"/>
      <w:pPr>
        <w:ind w:left="3023" w:hanging="281"/>
      </w:pPr>
      <w:rPr>
        <w:rFonts w:hint="default"/>
        <w:lang w:val="zh-CN" w:eastAsia="zh-CN" w:bidi="zh-CN"/>
      </w:rPr>
    </w:lvl>
    <w:lvl w:ilvl="4">
      <w:start w:val="0"/>
      <w:numFmt w:val="bullet"/>
      <w:lvlText w:val="•"/>
      <w:lvlJc w:val="left"/>
      <w:pPr>
        <w:ind w:left="3818" w:hanging="281"/>
      </w:pPr>
      <w:rPr>
        <w:rFonts w:hint="default"/>
        <w:lang w:val="zh-CN" w:eastAsia="zh-CN" w:bidi="zh-CN"/>
      </w:rPr>
    </w:lvl>
    <w:lvl w:ilvl="5">
      <w:start w:val="0"/>
      <w:numFmt w:val="bullet"/>
      <w:lvlText w:val="•"/>
      <w:lvlJc w:val="left"/>
      <w:pPr>
        <w:ind w:left="4613" w:hanging="281"/>
      </w:pPr>
      <w:rPr>
        <w:rFonts w:hint="default"/>
        <w:lang w:val="zh-CN" w:eastAsia="zh-CN" w:bidi="zh-CN"/>
      </w:rPr>
    </w:lvl>
    <w:lvl w:ilvl="6">
      <w:start w:val="0"/>
      <w:numFmt w:val="bullet"/>
      <w:lvlText w:val="•"/>
      <w:lvlJc w:val="left"/>
      <w:pPr>
        <w:ind w:left="5407" w:hanging="281"/>
      </w:pPr>
      <w:rPr>
        <w:rFonts w:hint="default"/>
        <w:lang w:val="zh-CN" w:eastAsia="zh-CN" w:bidi="zh-CN"/>
      </w:rPr>
    </w:lvl>
    <w:lvl w:ilvl="7">
      <w:start w:val="0"/>
      <w:numFmt w:val="bullet"/>
      <w:lvlText w:val="•"/>
      <w:lvlJc w:val="left"/>
      <w:pPr>
        <w:ind w:left="6202" w:hanging="281"/>
      </w:pPr>
      <w:rPr>
        <w:rFonts w:hint="default"/>
        <w:lang w:val="zh-CN" w:eastAsia="zh-CN" w:bidi="zh-CN"/>
      </w:rPr>
    </w:lvl>
    <w:lvl w:ilvl="8">
      <w:start w:val="0"/>
      <w:numFmt w:val="bullet"/>
      <w:lvlText w:val="•"/>
      <w:lvlJc w:val="left"/>
      <w:pPr>
        <w:ind w:left="6996" w:hanging="281"/>
      </w:pPr>
      <w:rPr>
        <w:rFonts w:hint="default"/>
        <w:lang w:val="zh-CN" w:eastAsia="zh-CN" w:bidi="zh-CN"/>
      </w:rPr>
    </w:lvl>
  </w:abstractNum>
  <w:abstractNum w:abstractNumId="0">
    <w:multiLevelType w:val="hybridMultilevel"/>
    <w:lvl w:ilvl="0">
      <w:start w:val="1"/>
      <w:numFmt w:val="decimal"/>
      <w:lvlText w:val="%1."/>
      <w:lvlJc w:val="left"/>
      <w:pPr>
        <w:ind w:left="928" w:hanging="420"/>
        <w:jc w:val="left"/>
      </w:pPr>
      <w:rPr>
        <w:rFonts w:hint="default" w:ascii="宋体" w:hAnsi="宋体" w:eastAsia="宋体" w:cs="宋体"/>
        <w:color w:val="333333"/>
        <w:spacing w:val="0"/>
        <w:w w:val="100"/>
        <w:sz w:val="28"/>
        <w:szCs w:val="28"/>
        <w:lang w:val="zh-CN" w:eastAsia="zh-CN" w:bidi="zh-CN"/>
      </w:rPr>
    </w:lvl>
    <w:lvl w:ilvl="1">
      <w:start w:val="0"/>
      <w:numFmt w:val="bullet"/>
      <w:lvlText w:val="•"/>
      <w:lvlJc w:val="left"/>
      <w:pPr>
        <w:ind w:left="1686" w:hanging="420"/>
      </w:pPr>
      <w:rPr>
        <w:rFonts w:hint="default"/>
        <w:lang w:val="zh-CN" w:eastAsia="zh-CN" w:bidi="zh-CN"/>
      </w:rPr>
    </w:lvl>
    <w:lvl w:ilvl="2">
      <w:start w:val="0"/>
      <w:numFmt w:val="bullet"/>
      <w:lvlText w:val="•"/>
      <w:lvlJc w:val="left"/>
      <w:pPr>
        <w:ind w:left="2453" w:hanging="420"/>
      </w:pPr>
      <w:rPr>
        <w:rFonts w:hint="default"/>
        <w:lang w:val="zh-CN" w:eastAsia="zh-CN" w:bidi="zh-CN"/>
      </w:rPr>
    </w:lvl>
    <w:lvl w:ilvl="3">
      <w:start w:val="0"/>
      <w:numFmt w:val="bullet"/>
      <w:lvlText w:val="•"/>
      <w:lvlJc w:val="left"/>
      <w:pPr>
        <w:ind w:left="3219" w:hanging="420"/>
      </w:pPr>
      <w:rPr>
        <w:rFonts w:hint="default"/>
        <w:lang w:val="zh-CN" w:eastAsia="zh-CN" w:bidi="zh-CN"/>
      </w:rPr>
    </w:lvl>
    <w:lvl w:ilvl="4">
      <w:start w:val="0"/>
      <w:numFmt w:val="bullet"/>
      <w:lvlText w:val="•"/>
      <w:lvlJc w:val="left"/>
      <w:pPr>
        <w:ind w:left="3986" w:hanging="420"/>
      </w:pPr>
      <w:rPr>
        <w:rFonts w:hint="default"/>
        <w:lang w:val="zh-CN" w:eastAsia="zh-CN" w:bidi="zh-CN"/>
      </w:rPr>
    </w:lvl>
    <w:lvl w:ilvl="5">
      <w:start w:val="0"/>
      <w:numFmt w:val="bullet"/>
      <w:lvlText w:val="•"/>
      <w:lvlJc w:val="left"/>
      <w:pPr>
        <w:ind w:left="4753" w:hanging="420"/>
      </w:pPr>
      <w:rPr>
        <w:rFonts w:hint="default"/>
        <w:lang w:val="zh-CN" w:eastAsia="zh-CN" w:bidi="zh-CN"/>
      </w:rPr>
    </w:lvl>
    <w:lvl w:ilvl="6">
      <w:start w:val="0"/>
      <w:numFmt w:val="bullet"/>
      <w:lvlText w:val="•"/>
      <w:lvlJc w:val="left"/>
      <w:pPr>
        <w:ind w:left="5519" w:hanging="420"/>
      </w:pPr>
      <w:rPr>
        <w:rFonts w:hint="default"/>
        <w:lang w:val="zh-CN" w:eastAsia="zh-CN" w:bidi="zh-CN"/>
      </w:rPr>
    </w:lvl>
    <w:lvl w:ilvl="7">
      <w:start w:val="0"/>
      <w:numFmt w:val="bullet"/>
      <w:lvlText w:val="•"/>
      <w:lvlJc w:val="left"/>
      <w:pPr>
        <w:ind w:left="6286" w:hanging="420"/>
      </w:pPr>
      <w:rPr>
        <w:rFonts w:hint="default"/>
        <w:lang w:val="zh-CN" w:eastAsia="zh-CN" w:bidi="zh-CN"/>
      </w:rPr>
    </w:lvl>
    <w:lvl w:ilvl="8">
      <w:start w:val="0"/>
      <w:numFmt w:val="bullet"/>
      <w:lvlText w:val="•"/>
      <w:lvlJc w:val="left"/>
      <w:pPr>
        <w:ind w:left="7052" w:hanging="420"/>
      </w:pPr>
      <w:rPr>
        <w:rFonts w:hint="default"/>
        <w:lang w:val="zh-CN" w:eastAsia="zh-CN" w:bidi="zh-CN"/>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ind w:left="644" w:right="239" w:hanging="420"/>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creditchina.gov.cn/" TargetMode="External"/><Relationship Id="rId6" Type="http://schemas.openxmlformats.org/officeDocument/2006/relationships/hyperlink" Target="http://www.ccgp.gov.cn/" TargetMode="External"/><Relationship Id="rId7" Type="http://schemas.openxmlformats.org/officeDocument/2006/relationships/hyperlink" Target="http://www.zztender.com/tender/5bf4e003ebfca/p-" TargetMode="Externa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2021-07-04T16:58:51Z</dcterms:created>
  <dcterms:modified xsi:type="dcterms:W3CDTF">2021-07-04T16:58:51Z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