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200" w:right="295" w:firstLine="0"/>
        <w:jc w:val="left"/>
        <w:rPr>
          <w:b/>
          <w:sz w:val="27"/>
        </w:rPr>
      </w:pPr>
      <w:bookmarkStart w:name="广东省农村信用社联合社智能POS终端、简易条码受理终端、扫码外设设备采购项目（之" w:id="1"/>
      <w:bookmarkEnd w:id="1"/>
      <w:r>
        <w:rPr/>
      </w:r>
      <w:r>
        <w:rPr>
          <w:b/>
          <w:spacing w:val="-6"/>
          <w:sz w:val="27"/>
        </w:rPr>
        <w:t>广东省农村信用社联合社智能 </w:t>
      </w:r>
      <w:r>
        <w:rPr>
          <w:b/>
          <w:sz w:val="27"/>
        </w:rPr>
        <w:t>POS</w:t>
      </w:r>
      <w:r>
        <w:rPr>
          <w:b/>
          <w:spacing w:val="-10"/>
          <w:sz w:val="27"/>
        </w:rPr>
        <w:t> 终端、简易条码受理终端、扫码外</w:t>
      </w:r>
      <w:r>
        <w:rPr>
          <w:b/>
          <w:sz w:val="27"/>
        </w:rPr>
        <w:t>设设备采购项目（</w:t>
      </w:r>
      <w:r>
        <w:rPr>
          <w:b/>
          <w:spacing w:val="-17"/>
          <w:sz w:val="27"/>
        </w:rPr>
        <w:t>之智能 </w:t>
      </w:r>
      <w:r>
        <w:rPr>
          <w:b/>
          <w:sz w:val="27"/>
        </w:rPr>
        <w:t>POS</w:t>
      </w:r>
      <w:r>
        <w:rPr>
          <w:b/>
          <w:spacing w:val="-24"/>
          <w:sz w:val="27"/>
        </w:rPr>
        <w:t> 采购</w:t>
      </w:r>
      <w:r>
        <w:rPr>
          <w:b/>
          <w:sz w:val="27"/>
        </w:rPr>
        <w:t>）公开招标公告</w:t>
      </w:r>
    </w:p>
    <w:p>
      <w:pPr>
        <w:pStyle w:val="BodyText"/>
        <w:spacing w:before="12"/>
        <w:rPr>
          <w:b/>
          <w:sz w:val="21"/>
        </w:rPr>
      </w:pPr>
    </w:p>
    <w:p>
      <w:pPr>
        <w:tabs>
          <w:tab w:pos="1999" w:val="left" w:leader="none"/>
        </w:tabs>
        <w:spacing w:before="0"/>
        <w:ind w:left="200" w:right="0" w:firstLine="0"/>
        <w:jc w:val="left"/>
        <w:rPr>
          <w:sz w:val="24"/>
        </w:rPr>
      </w:pPr>
      <w:r>
        <w:rPr>
          <w:sz w:val="24"/>
        </w:rPr>
        <w:t>浏览次数：</w:t>
        <w:tab/>
        <w:t>发布日期：2019-05-31</w:t>
      </w:r>
    </w:p>
    <w:p>
      <w:pPr>
        <w:pStyle w:val="BodyText"/>
        <w:spacing w:before="2"/>
        <w:rPr>
          <w:sz w:val="22"/>
        </w:rPr>
      </w:pPr>
    </w:p>
    <w:p>
      <w:pPr>
        <w:pStyle w:val="BodyText"/>
        <w:spacing w:line="242" w:lineRule="auto"/>
        <w:ind w:left="200" w:right="163" w:firstLine="420"/>
      </w:pPr>
      <w:r>
        <w:rPr>
          <w:color w:val="333333"/>
        </w:rPr>
        <w:t>广东志正招标有限公司受广东省农村信用社联合社的委托，对广东省农村信用社联合社智能POS 终端、简易条码受理终端、扫码外设设备采购项目（之智能POS 采购）进行公开招标采购，欢迎符合资格条件的投标人投标。</w:t>
      </w:r>
    </w:p>
    <w:p>
      <w:pPr>
        <w:pStyle w:val="BodyText"/>
        <w:spacing w:before="2"/>
        <w:rPr>
          <w:sz w:val="22"/>
        </w:rPr>
      </w:pPr>
    </w:p>
    <w:p>
      <w:pPr>
        <w:pStyle w:val="BodyText"/>
        <w:ind w:left="156"/>
      </w:pPr>
      <w:r>
        <w:rPr>
          <w:color w:val="333333"/>
        </w:rPr>
        <w:t>一、采购项目编号：ZZ0190267NA4A02</w:t>
      </w:r>
    </w:p>
    <w:p>
      <w:pPr>
        <w:pStyle w:val="BodyText"/>
        <w:spacing w:before="2"/>
        <w:rPr>
          <w:sz w:val="22"/>
        </w:rPr>
      </w:pPr>
    </w:p>
    <w:p>
      <w:pPr>
        <w:pStyle w:val="BodyText"/>
        <w:spacing w:line="242" w:lineRule="auto"/>
        <w:ind w:left="723" w:right="345" w:hanging="567"/>
      </w:pPr>
      <w:r>
        <w:rPr>
          <w:color w:val="333333"/>
        </w:rPr>
        <w:t>二、采购项目名称：广东省农村信用社联合社智能POS 终端、简易条码受理终端、扫码外设设备采购项目（之智能POS 采购）</w:t>
      </w:r>
    </w:p>
    <w:p>
      <w:pPr>
        <w:pStyle w:val="BodyText"/>
        <w:spacing w:before="12"/>
        <w:rPr>
          <w:sz w:val="21"/>
        </w:rPr>
      </w:pPr>
    </w:p>
    <w:p>
      <w:pPr>
        <w:pStyle w:val="BodyText"/>
        <w:ind w:left="156"/>
      </w:pPr>
      <w:r>
        <w:rPr>
          <w:color w:val="333333"/>
        </w:rPr>
        <w:t>三、采购预算：本项目不设最高限价</w:t>
      </w:r>
    </w:p>
    <w:p>
      <w:pPr>
        <w:pStyle w:val="BodyText"/>
        <w:spacing w:before="3"/>
        <w:rPr>
          <w:sz w:val="22"/>
        </w:rPr>
      </w:pPr>
    </w:p>
    <w:p>
      <w:pPr>
        <w:pStyle w:val="BodyText"/>
        <w:ind w:left="156"/>
      </w:pPr>
      <w:r>
        <w:rPr>
          <w:color w:val="333333"/>
        </w:rPr>
        <w:t>四、项目内容及要求：（采购项目技术规格、参数及要求）</w:t>
      </w:r>
    </w:p>
    <w:p>
      <w:pPr>
        <w:pStyle w:val="BodyText"/>
        <w:spacing w:before="2"/>
        <w:rPr>
          <w:sz w:val="22"/>
        </w:rPr>
      </w:pPr>
    </w:p>
    <w:p>
      <w:pPr>
        <w:pStyle w:val="ListParagraph"/>
        <w:numPr>
          <w:ilvl w:val="0"/>
          <w:numId w:val="1"/>
        </w:numPr>
        <w:tabs>
          <w:tab w:pos="820" w:val="left" w:leader="none"/>
        </w:tabs>
        <w:spacing w:line="242" w:lineRule="auto" w:before="0" w:after="0"/>
        <w:ind w:left="968" w:right="242" w:hanging="569"/>
        <w:jc w:val="left"/>
        <w:rPr>
          <w:sz w:val="28"/>
        </w:rPr>
      </w:pPr>
      <w:r>
        <w:rPr>
          <w:color w:val="333333"/>
          <w:sz w:val="28"/>
        </w:rPr>
        <w:t>采购内容: 广东省农村信用社联合社智能POS</w:t>
      </w:r>
      <w:r>
        <w:rPr>
          <w:color w:val="333333"/>
          <w:spacing w:val="-11"/>
          <w:sz w:val="28"/>
        </w:rPr>
        <w:t> 终端、简易条码</w:t>
      </w:r>
      <w:r>
        <w:rPr>
          <w:color w:val="333333"/>
          <w:spacing w:val="-5"/>
          <w:sz w:val="28"/>
        </w:rPr>
        <w:t>受理终端、扫码外设设备采购项目</w:t>
      </w:r>
      <w:r>
        <w:rPr>
          <w:color w:val="333333"/>
          <w:sz w:val="28"/>
        </w:rPr>
        <w:t>（</w:t>
      </w:r>
      <w:r>
        <w:rPr>
          <w:color w:val="333333"/>
          <w:spacing w:val="21"/>
          <w:sz w:val="28"/>
        </w:rPr>
        <w:t>之智能</w:t>
      </w:r>
      <w:r>
        <w:rPr>
          <w:color w:val="333333"/>
          <w:sz w:val="28"/>
        </w:rPr>
        <w:t>POS</w:t>
      </w:r>
      <w:r>
        <w:rPr>
          <w:color w:val="333333"/>
          <w:spacing w:val="-25"/>
          <w:sz w:val="28"/>
        </w:rPr>
        <w:t> 采购</w:t>
      </w:r>
      <w:r>
        <w:rPr>
          <w:color w:val="333333"/>
          <w:sz w:val="28"/>
        </w:rPr>
        <w:t>）。</w:t>
      </w:r>
    </w:p>
    <w:p>
      <w:pPr>
        <w:pStyle w:val="BodyText"/>
        <w:spacing w:before="12"/>
        <w:rPr>
          <w:sz w:val="21"/>
        </w:rPr>
      </w:pPr>
    </w:p>
    <w:p>
      <w:pPr>
        <w:pStyle w:val="ListParagraph"/>
        <w:numPr>
          <w:ilvl w:val="0"/>
          <w:numId w:val="1"/>
        </w:numPr>
        <w:tabs>
          <w:tab w:pos="820" w:val="left" w:leader="none"/>
        </w:tabs>
        <w:spacing w:line="240" w:lineRule="auto" w:before="0" w:after="0"/>
        <w:ind w:left="819" w:right="0" w:hanging="421"/>
        <w:jc w:val="left"/>
        <w:rPr>
          <w:sz w:val="28"/>
        </w:rPr>
      </w:pPr>
      <w:r>
        <w:rPr>
          <w:color w:val="333333"/>
          <w:spacing w:val="-3"/>
          <w:sz w:val="28"/>
        </w:rPr>
        <w:t>招标项目的详细内容及技术参数、执行标准详见招标需求书。</w:t>
      </w:r>
    </w:p>
    <w:p>
      <w:pPr>
        <w:pStyle w:val="BodyText"/>
        <w:spacing w:before="5"/>
        <w:rPr>
          <w:sz w:val="22"/>
        </w:rPr>
      </w:pPr>
    </w:p>
    <w:p>
      <w:pPr>
        <w:pStyle w:val="ListParagraph"/>
        <w:numPr>
          <w:ilvl w:val="0"/>
          <w:numId w:val="1"/>
        </w:numPr>
        <w:tabs>
          <w:tab w:pos="820" w:val="left" w:leader="none"/>
        </w:tabs>
        <w:spacing w:line="242" w:lineRule="auto" w:before="0" w:after="0"/>
        <w:ind w:left="684" w:right="244" w:hanging="286"/>
        <w:jc w:val="left"/>
        <w:rPr>
          <w:sz w:val="28"/>
        </w:rPr>
      </w:pPr>
      <w:r>
        <w:rPr>
          <w:color w:val="333333"/>
          <w:spacing w:val="-3"/>
          <w:sz w:val="28"/>
        </w:rPr>
        <w:t>投标人只可对整个项目进行报价且应对项目内所有的报价内容进行报价，不允许只对其中部分内容进行报价。</w:t>
      </w:r>
    </w:p>
    <w:p>
      <w:pPr>
        <w:pStyle w:val="BodyText"/>
        <w:spacing w:before="12"/>
        <w:rPr>
          <w:sz w:val="21"/>
        </w:rPr>
      </w:pPr>
    </w:p>
    <w:p>
      <w:pPr>
        <w:pStyle w:val="BodyText"/>
        <w:ind w:left="156"/>
      </w:pPr>
      <w:r>
        <w:rPr>
          <w:color w:val="333333"/>
        </w:rPr>
        <w:t>五、投标人资格</w:t>
      </w:r>
    </w:p>
    <w:p>
      <w:pPr>
        <w:pStyle w:val="BodyText"/>
        <w:spacing w:before="3"/>
        <w:rPr>
          <w:sz w:val="22"/>
        </w:rPr>
      </w:pPr>
    </w:p>
    <w:p>
      <w:pPr>
        <w:pStyle w:val="ListParagraph"/>
        <w:numPr>
          <w:ilvl w:val="0"/>
          <w:numId w:val="2"/>
        </w:numPr>
        <w:tabs>
          <w:tab w:pos="450" w:val="left" w:leader="none"/>
        </w:tabs>
        <w:spacing w:line="242" w:lineRule="auto" w:before="0" w:after="0"/>
        <w:ind w:left="694" w:right="335" w:hanging="528"/>
        <w:jc w:val="left"/>
        <w:rPr>
          <w:sz w:val="28"/>
        </w:rPr>
      </w:pPr>
      <w:r>
        <w:rPr>
          <w:color w:val="333333"/>
          <w:spacing w:val="-3"/>
          <w:sz w:val="28"/>
        </w:rPr>
        <w:t>具有独立承担民事责任能力的在中华人民共和国境内依法注册的法人或其他组织。</w:t>
      </w:r>
    </w:p>
    <w:p>
      <w:pPr>
        <w:pStyle w:val="BodyText"/>
        <w:spacing w:before="11"/>
        <w:rPr>
          <w:sz w:val="21"/>
        </w:rPr>
      </w:pPr>
    </w:p>
    <w:p>
      <w:pPr>
        <w:pStyle w:val="ListParagraph"/>
        <w:numPr>
          <w:ilvl w:val="0"/>
          <w:numId w:val="2"/>
        </w:numPr>
        <w:tabs>
          <w:tab w:pos="450" w:val="left" w:leader="none"/>
        </w:tabs>
        <w:spacing w:line="242" w:lineRule="auto" w:before="1" w:after="0"/>
        <w:ind w:left="694" w:right="616" w:hanging="528"/>
        <w:jc w:val="left"/>
        <w:rPr>
          <w:sz w:val="28"/>
        </w:rPr>
      </w:pPr>
      <w:r>
        <w:rPr>
          <w:color w:val="333333"/>
          <w:spacing w:val="-3"/>
          <w:sz w:val="28"/>
        </w:rPr>
        <w:t>独立于招标人及招标代理机构，已购买招标文件及报名的投标人。</w:t>
      </w:r>
    </w:p>
    <w:p>
      <w:pPr>
        <w:pStyle w:val="BodyText"/>
        <w:spacing w:before="11"/>
        <w:rPr>
          <w:sz w:val="21"/>
        </w:rPr>
      </w:pPr>
    </w:p>
    <w:p>
      <w:pPr>
        <w:pStyle w:val="ListParagraph"/>
        <w:numPr>
          <w:ilvl w:val="0"/>
          <w:numId w:val="2"/>
        </w:numPr>
        <w:tabs>
          <w:tab w:pos="450" w:val="left" w:leader="none"/>
        </w:tabs>
        <w:spacing w:line="244" w:lineRule="auto" w:before="0" w:after="0"/>
        <w:ind w:left="694" w:right="335" w:hanging="528"/>
        <w:jc w:val="left"/>
        <w:rPr>
          <w:sz w:val="28"/>
        </w:rPr>
      </w:pPr>
      <w:r>
        <w:rPr>
          <w:color w:val="333333"/>
          <w:spacing w:val="-3"/>
          <w:sz w:val="28"/>
        </w:rPr>
        <w:t>参加本项目采购活动前三年内没有违法、违规或其他不良纪录； 没有被行政主管部门取消投标资格且仍在被处罚期内。</w:t>
      </w:r>
    </w:p>
    <w:p>
      <w:pPr>
        <w:pStyle w:val="BodyText"/>
        <w:spacing w:before="7"/>
        <w:rPr>
          <w:sz w:val="21"/>
        </w:rPr>
      </w:pPr>
    </w:p>
    <w:p>
      <w:pPr>
        <w:pStyle w:val="ListParagraph"/>
        <w:numPr>
          <w:ilvl w:val="0"/>
          <w:numId w:val="2"/>
        </w:numPr>
        <w:tabs>
          <w:tab w:pos="450" w:val="left" w:leader="none"/>
        </w:tabs>
        <w:spacing w:line="242" w:lineRule="auto" w:before="1" w:after="0"/>
        <w:ind w:left="694" w:right="335" w:hanging="528"/>
        <w:jc w:val="left"/>
        <w:rPr>
          <w:sz w:val="28"/>
        </w:rPr>
      </w:pPr>
      <w:r>
        <w:rPr>
          <w:color w:val="333333"/>
          <w:spacing w:val="-3"/>
          <w:sz w:val="28"/>
        </w:rPr>
        <w:t>与招标人存在利害关系可能影响招标公正性的法人、其他组织或者个人，不得参加投标。单位负责人为同一人或者存在控股、</w:t>
      </w:r>
    </w:p>
    <w:p>
      <w:pPr>
        <w:spacing w:after="0" w:line="242" w:lineRule="auto"/>
        <w:jc w:val="left"/>
        <w:rPr>
          <w:sz w:val="28"/>
        </w:rPr>
        <w:sectPr>
          <w:type w:val="continuous"/>
          <w:pgSz w:w="11910" w:h="16840"/>
          <w:pgMar w:top="1380" w:bottom="280" w:left="1600" w:right="1680"/>
        </w:sectPr>
      </w:pPr>
    </w:p>
    <w:p>
      <w:pPr>
        <w:pStyle w:val="BodyText"/>
        <w:spacing w:line="244" w:lineRule="auto" w:before="43"/>
        <w:ind w:left="694" w:right="369"/>
      </w:pPr>
      <w:r>
        <w:rPr>
          <w:color w:val="333333"/>
        </w:rPr>
        <w:t>管理关系的不同单位，不得参加同一标段投标或者未划分标段的同一招标项目投标。违反前两款规定的，相关投标均无效。</w:t>
      </w:r>
    </w:p>
    <w:p>
      <w:pPr>
        <w:pStyle w:val="BodyText"/>
        <w:spacing w:before="6"/>
        <w:rPr>
          <w:sz w:val="21"/>
        </w:rPr>
      </w:pPr>
    </w:p>
    <w:p>
      <w:pPr>
        <w:pStyle w:val="ListParagraph"/>
        <w:numPr>
          <w:ilvl w:val="0"/>
          <w:numId w:val="2"/>
        </w:numPr>
        <w:tabs>
          <w:tab w:pos="450" w:val="left" w:leader="none"/>
        </w:tabs>
        <w:spacing w:line="242" w:lineRule="auto" w:before="1" w:after="0"/>
        <w:ind w:left="694" w:right="335" w:hanging="528"/>
        <w:jc w:val="both"/>
        <w:rPr>
          <w:sz w:val="28"/>
        </w:rPr>
      </w:pPr>
      <w:r>
        <w:rPr>
          <w:color w:val="333333"/>
          <w:spacing w:val="-3"/>
          <w:sz w:val="28"/>
        </w:rPr>
        <w:t>截止至本项目招标公告发布之日，未被纳入招标人供应商黑名单之内</w:t>
      </w:r>
      <w:r>
        <w:rPr>
          <w:color w:val="333333"/>
          <w:sz w:val="28"/>
        </w:rPr>
        <w:t>（</w:t>
      </w:r>
      <w:r>
        <w:rPr>
          <w:color w:val="333333"/>
          <w:spacing w:val="-3"/>
          <w:sz w:val="28"/>
        </w:rPr>
        <w:t>截止本项目投标截止日，已解除黑名单处罚的除外）</w:t>
      </w:r>
      <w:r>
        <w:rPr>
          <w:color w:val="333333"/>
          <w:sz w:val="28"/>
        </w:rPr>
        <w:t>及</w:t>
      </w:r>
      <w:r>
        <w:rPr>
          <w:color w:val="333333"/>
          <w:spacing w:val="-3"/>
          <w:sz w:val="28"/>
        </w:rPr>
        <w:t>与招标人无合同纠纷。若投标货物制造商在招标人供应商黑名单有效期之内或与招标人存在合同纠纷，则该货物制造商及其所授权的代理商的投标无效。</w:t>
      </w:r>
    </w:p>
    <w:p>
      <w:pPr>
        <w:pStyle w:val="BodyText"/>
        <w:spacing w:before="1"/>
        <w:rPr>
          <w:sz w:val="22"/>
        </w:rPr>
      </w:pPr>
    </w:p>
    <w:p>
      <w:pPr>
        <w:pStyle w:val="ListParagraph"/>
        <w:numPr>
          <w:ilvl w:val="0"/>
          <w:numId w:val="2"/>
        </w:numPr>
        <w:tabs>
          <w:tab w:pos="450" w:val="left" w:leader="none"/>
        </w:tabs>
        <w:spacing w:line="240" w:lineRule="auto" w:before="0" w:after="0"/>
        <w:ind w:left="449" w:right="0" w:hanging="284"/>
        <w:jc w:val="left"/>
        <w:rPr>
          <w:sz w:val="28"/>
        </w:rPr>
      </w:pPr>
      <w:r>
        <w:rPr>
          <w:color w:val="333333"/>
          <w:spacing w:val="-3"/>
          <w:sz w:val="28"/>
        </w:rPr>
        <w:t>产品必须具有以下认证：</w:t>
      </w:r>
    </w:p>
    <w:p>
      <w:pPr>
        <w:pStyle w:val="BodyText"/>
        <w:spacing w:before="3"/>
        <w:rPr>
          <w:sz w:val="22"/>
        </w:rPr>
      </w:pPr>
    </w:p>
    <w:p>
      <w:pPr>
        <w:pStyle w:val="ListParagraph"/>
        <w:numPr>
          <w:ilvl w:val="1"/>
          <w:numId w:val="2"/>
        </w:numPr>
        <w:tabs>
          <w:tab w:pos="973" w:val="left" w:leader="none"/>
        </w:tabs>
        <w:spacing w:line="240" w:lineRule="auto" w:before="0" w:after="0"/>
        <w:ind w:left="972" w:right="0" w:hanging="284"/>
        <w:jc w:val="left"/>
        <w:rPr>
          <w:sz w:val="28"/>
        </w:rPr>
      </w:pPr>
      <w:r>
        <w:rPr>
          <w:color w:val="333333"/>
          <w:spacing w:val="-3"/>
          <w:sz w:val="28"/>
        </w:rPr>
        <w:t>通过中国国家强制性产品认证</w:t>
      </w:r>
      <w:r>
        <w:rPr>
          <w:color w:val="333333"/>
          <w:sz w:val="28"/>
        </w:rPr>
        <w:t>（3C</w:t>
      </w:r>
      <w:r>
        <w:rPr>
          <w:color w:val="333333"/>
          <w:spacing w:val="-25"/>
          <w:sz w:val="28"/>
        </w:rPr>
        <w:t> 认证</w:t>
      </w:r>
      <w:r>
        <w:rPr>
          <w:color w:val="333333"/>
          <w:sz w:val="28"/>
        </w:rPr>
        <w:t>）。</w:t>
      </w:r>
    </w:p>
    <w:p>
      <w:pPr>
        <w:pStyle w:val="BodyText"/>
        <w:spacing w:before="2"/>
        <w:rPr>
          <w:sz w:val="22"/>
        </w:rPr>
      </w:pPr>
    </w:p>
    <w:p>
      <w:pPr>
        <w:pStyle w:val="ListParagraph"/>
        <w:numPr>
          <w:ilvl w:val="1"/>
          <w:numId w:val="2"/>
        </w:numPr>
        <w:tabs>
          <w:tab w:pos="973" w:val="left" w:leader="none"/>
        </w:tabs>
        <w:spacing w:line="240" w:lineRule="auto" w:before="0" w:after="0"/>
        <w:ind w:left="972" w:right="0" w:hanging="284"/>
        <w:jc w:val="left"/>
        <w:rPr>
          <w:sz w:val="28"/>
        </w:rPr>
      </w:pPr>
      <w:r>
        <w:rPr>
          <w:color w:val="333333"/>
          <w:spacing w:val="-3"/>
          <w:sz w:val="28"/>
        </w:rPr>
        <w:t>获得《电信设备进网许可证》。</w:t>
      </w:r>
    </w:p>
    <w:p>
      <w:pPr>
        <w:pStyle w:val="BodyText"/>
        <w:spacing w:before="3"/>
        <w:rPr>
          <w:sz w:val="22"/>
        </w:rPr>
      </w:pPr>
    </w:p>
    <w:p>
      <w:pPr>
        <w:pStyle w:val="ListParagraph"/>
        <w:numPr>
          <w:ilvl w:val="1"/>
          <w:numId w:val="2"/>
        </w:numPr>
        <w:tabs>
          <w:tab w:pos="973" w:val="left" w:leader="none"/>
        </w:tabs>
        <w:spacing w:line="242" w:lineRule="auto" w:before="0" w:after="0"/>
        <w:ind w:left="1109" w:right="374" w:hanging="420"/>
        <w:jc w:val="left"/>
        <w:rPr>
          <w:sz w:val="28"/>
        </w:rPr>
      </w:pPr>
      <w:r>
        <w:rPr>
          <w:color w:val="333333"/>
          <w:spacing w:val="-3"/>
          <w:sz w:val="28"/>
        </w:rPr>
        <w:t>获得中国银联《银联卡受理终端产品入网许可证》或通过中</w:t>
      </w:r>
      <w:r>
        <w:rPr>
          <w:color w:val="333333"/>
          <w:spacing w:val="15"/>
          <w:sz w:val="28"/>
        </w:rPr>
        <w:t>国银联云</w:t>
      </w:r>
      <w:r>
        <w:rPr>
          <w:color w:val="333333"/>
          <w:sz w:val="28"/>
        </w:rPr>
        <w:t>POS</w:t>
      </w:r>
      <w:r>
        <w:rPr>
          <w:color w:val="333333"/>
          <w:spacing w:val="-11"/>
          <w:sz w:val="28"/>
        </w:rPr>
        <w:t> 应用检测认证。</w:t>
      </w:r>
    </w:p>
    <w:p>
      <w:pPr>
        <w:pStyle w:val="BodyText"/>
        <w:spacing w:before="12"/>
        <w:rPr>
          <w:sz w:val="21"/>
        </w:rPr>
      </w:pPr>
    </w:p>
    <w:p>
      <w:pPr>
        <w:pStyle w:val="ListParagraph"/>
        <w:numPr>
          <w:ilvl w:val="1"/>
          <w:numId w:val="2"/>
        </w:numPr>
        <w:tabs>
          <w:tab w:pos="973" w:val="left" w:leader="none"/>
        </w:tabs>
        <w:spacing w:line="242" w:lineRule="auto" w:before="0" w:after="0"/>
        <w:ind w:left="1109" w:right="235" w:hanging="420"/>
        <w:jc w:val="left"/>
        <w:rPr>
          <w:sz w:val="28"/>
        </w:rPr>
      </w:pPr>
      <w:r>
        <w:rPr>
          <w:color w:val="333333"/>
          <w:spacing w:val="-3"/>
          <w:sz w:val="28"/>
        </w:rPr>
        <w:t>通过中国银联银行卡受理终端安全认证规范</w:t>
      </w:r>
      <w:r>
        <w:rPr>
          <w:color w:val="333333"/>
          <w:sz w:val="28"/>
        </w:rPr>
        <w:t>（UPTS2.0）</w:t>
      </w:r>
      <w:r>
        <w:rPr>
          <w:color w:val="333333"/>
          <w:spacing w:val="-2"/>
          <w:sz w:val="28"/>
        </w:rPr>
        <w:t>的认证。</w:t>
      </w:r>
    </w:p>
    <w:p>
      <w:pPr>
        <w:pStyle w:val="BodyText"/>
        <w:spacing w:before="11"/>
        <w:rPr>
          <w:sz w:val="21"/>
        </w:rPr>
      </w:pPr>
    </w:p>
    <w:p>
      <w:pPr>
        <w:pStyle w:val="ListParagraph"/>
        <w:numPr>
          <w:ilvl w:val="1"/>
          <w:numId w:val="2"/>
        </w:numPr>
        <w:tabs>
          <w:tab w:pos="973" w:val="left" w:leader="none"/>
        </w:tabs>
        <w:spacing w:line="242" w:lineRule="auto" w:before="1" w:after="0"/>
        <w:ind w:left="1109" w:right="374" w:hanging="420"/>
        <w:jc w:val="left"/>
        <w:rPr>
          <w:sz w:val="28"/>
        </w:rPr>
      </w:pPr>
      <w:r>
        <w:rPr>
          <w:color w:val="333333"/>
          <w:spacing w:val="-3"/>
          <w:sz w:val="28"/>
        </w:rPr>
        <w:t>通过中国银联银联卡受理终端应用检测认证或通过中国银联</w:t>
      </w:r>
      <w:r>
        <w:rPr>
          <w:color w:val="333333"/>
          <w:spacing w:val="69"/>
          <w:sz w:val="28"/>
        </w:rPr>
        <w:t>云</w:t>
      </w:r>
      <w:r>
        <w:rPr>
          <w:color w:val="333333"/>
          <w:sz w:val="28"/>
        </w:rPr>
        <w:t>POS</w:t>
      </w:r>
      <w:r>
        <w:rPr>
          <w:color w:val="333333"/>
          <w:spacing w:val="-11"/>
          <w:sz w:val="28"/>
        </w:rPr>
        <w:t> 应用检测认证。</w:t>
      </w:r>
    </w:p>
    <w:p>
      <w:pPr>
        <w:pStyle w:val="BodyText"/>
        <w:spacing w:before="1"/>
        <w:rPr>
          <w:sz w:val="22"/>
        </w:rPr>
      </w:pPr>
    </w:p>
    <w:p>
      <w:pPr>
        <w:pStyle w:val="ListParagraph"/>
        <w:numPr>
          <w:ilvl w:val="1"/>
          <w:numId w:val="2"/>
        </w:numPr>
        <w:tabs>
          <w:tab w:pos="973" w:val="left" w:leader="none"/>
        </w:tabs>
        <w:spacing w:line="240" w:lineRule="auto" w:before="0" w:after="0"/>
        <w:ind w:left="972" w:right="0" w:hanging="284"/>
        <w:jc w:val="left"/>
        <w:rPr>
          <w:sz w:val="28"/>
        </w:rPr>
      </w:pPr>
      <w:r>
        <w:rPr>
          <w:color w:val="333333"/>
          <w:spacing w:val="34"/>
          <w:sz w:val="28"/>
        </w:rPr>
        <w:t>通过</w:t>
      </w:r>
      <w:r>
        <w:rPr>
          <w:color w:val="333333"/>
          <w:sz w:val="28"/>
        </w:rPr>
        <w:t>EMV</w:t>
      </w:r>
      <w:r>
        <w:rPr>
          <w:color w:val="333333"/>
          <w:spacing w:val="-3"/>
          <w:sz w:val="28"/>
        </w:rPr>
        <w:t> </w:t>
      </w:r>
      <w:r>
        <w:rPr>
          <w:color w:val="333333"/>
          <w:sz w:val="28"/>
        </w:rPr>
        <w:t>LEVEL</w:t>
      </w:r>
      <w:r>
        <w:rPr>
          <w:color w:val="333333"/>
          <w:spacing w:val="-3"/>
          <w:sz w:val="28"/>
        </w:rPr>
        <w:t> </w:t>
      </w:r>
      <w:r>
        <w:rPr>
          <w:color w:val="333333"/>
          <w:sz w:val="28"/>
        </w:rPr>
        <w:t>1 &amp;2</w:t>
      </w:r>
      <w:r>
        <w:rPr>
          <w:color w:val="333333"/>
          <w:spacing w:val="-19"/>
          <w:sz w:val="28"/>
        </w:rPr>
        <w:t> 认证。</w:t>
      </w:r>
    </w:p>
    <w:p>
      <w:pPr>
        <w:pStyle w:val="BodyText"/>
        <w:spacing w:before="3"/>
        <w:rPr>
          <w:sz w:val="22"/>
        </w:rPr>
      </w:pPr>
    </w:p>
    <w:p>
      <w:pPr>
        <w:pStyle w:val="ListParagraph"/>
        <w:numPr>
          <w:ilvl w:val="1"/>
          <w:numId w:val="2"/>
        </w:numPr>
        <w:tabs>
          <w:tab w:pos="973" w:val="left" w:leader="none"/>
        </w:tabs>
        <w:spacing w:line="240" w:lineRule="auto" w:before="0" w:after="0"/>
        <w:ind w:left="972" w:right="0" w:hanging="284"/>
        <w:jc w:val="left"/>
        <w:rPr>
          <w:sz w:val="28"/>
        </w:rPr>
      </w:pPr>
      <w:r>
        <w:rPr>
          <w:color w:val="333333"/>
          <w:spacing w:val="34"/>
          <w:sz w:val="28"/>
        </w:rPr>
        <w:t>通过</w:t>
      </w:r>
      <w:r>
        <w:rPr>
          <w:color w:val="333333"/>
          <w:sz w:val="28"/>
        </w:rPr>
        <w:t>PBOC2.0</w:t>
      </w:r>
      <w:r>
        <w:rPr>
          <w:color w:val="333333"/>
          <w:spacing w:val="-25"/>
          <w:sz w:val="28"/>
        </w:rPr>
        <w:t> 以上</w:t>
      </w:r>
      <w:r>
        <w:rPr>
          <w:color w:val="333333"/>
          <w:sz w:val="28"/>
        </w:rPr>
        <w:t>（含）</w:t>
      </w:r>
      <w:r>
        <w:rPr>
          <w:color w:val="333333"/>
          <w:spacing w:val="-1"/>
          <w:sz w:val="28"/>
        </w:rPr>
        <w:t> </w:t>
      </w:r>
      <w:r>
        <w:rPr>
          <w:color w:val="333333"/>
          <w:sz w:val="28"/>
        </w:rPr>
        <w:t>LEVEL1&amp; 2</w:t>
      </w:r>
      <w:r>
        <w:rPr>
          <w:color w:val="333333"/>
          <w:spacing w:val="-19"/>
          <w:sz w:val="28"/>
        </w:rPr>
        <w:t> 认证。</w:t>
      </w:r>
    </w:p>
    <w:p>
      <w:pPr>
        <w:pStyle w:val="BodyText"/>
        <w:rPr>
          <w:sz w:val="22"/>
        </w:rPr>
      </w:pPr>
    </w:p>
    <w:p>
      <w:pPr>
        <w:pStyle w:val="ListParagraph"/>
        <w:numPr>
          <w:ilvl w:val="1"/>
          <w:numId w:val="2"/>
        </w:numPr>
        <w:tabs>
          <w:tab w:pos="973" w:val="left" w:leader="none"/>
        </w:tabs>
        <w:spacing w:line="240" w:lineRule="auto" w:before="0" w:after="0"/>
        <w:ind w:left="972" w:right="0" w:hanging="284"/>
        <w:jc w:val="left"/>
        <w:rPr>
          <w:sz w:val="28"/>
        </w:rPr>
      </w:pPr>
      <w:r>
        <w:rPr>
          <w:color w:val="333333"/>
          <w:spacing w:val="34"/>
          <w:sz w:val="28"/>
        </w:rPr>
        <w:t>通过</w:t>
      </w:r>
      <w:r>
        <w:rPr>
          <w:color w:val="333333"/>
          <w:sz w:val="28"/>
        </w:rPr>
        <w:t>QPBOC2.0</w:t>
      </w:r>
      <w:r>
        <w:rPr>
          <w:color w:val="333333"/>
          <w:spacing w:val="-25"/>
          <w:sz w:val="28"/>
        </w:rPr>
        <w:t> 以上</w:t>
      </w:r>
      <w:r>
        <w:rPr>
          <w:color w:val="333333"/>
          <w:sz w:val="28"/>
        </w:rPr>
        <w:t>（含）</w:t>
      </w:r>
      <w:r>
        <w:rPr>
          <w:color w:val="333333"/>
          <w:spacing w:val="-4"/>
          <w:sz w:val="28"/>
        </w:rPr>
        <w:t> </w:t>
      </w:r>
      <w:r>
        <w:rPr>
          <w:color w:val="333333"/>
          <w:sz w:val="28"/>
        </w:rPr>
        <w:t>LEVEL1&amp; 2</w:t>
      </w:r>
      <w:r>
        <w:rPr>
          <w:color w:val="333333"/>
          <w:spacing w:val="-19"/>
          <w:sz w:val="28"/>
        </w:rPr>
        <w:t> 认证。</w:t>
      </w:r>
    </w:p>
    <w:p>
      <w:pPr>
        <w:pStyle w:val="BodyText"/>
        <w:spacing w:before="2"/>
        <w:rPr>
          <w:sz w:val="22"/>
        </w:rPr>
      </w:pPr>
    </w:p>
    <w:p>
      <w:pPr>
        <w:pStyle w:val="BodyText"/>
        <w:spacing w:line="244" w:lineRule="auto"/>
        <w:ind w:left="689" w:right="374"/>
      </w:pPr>
      <w:r>
        <w:rPr>
          <w:color w:val="333333"/>
        </w:rPr>
        <w:t>上述各项认证均需提供认证证书、检测报告等相关证明文件并加盖公章。</w:t>
      </w:r>
    </w:p>
    <w:p>
      <w:pPr>
        <w:pStyle w:val="BodyText"/>
        <w:spacing w:before="7"/>
        <w:rPr>
          <w:sz w:val="21"/>
        </w:rPr>
      </w:pPr>
    </w:p>
    <w:p>
      <w:pPr>
        <w:pStyle w:val="ListParagraph"/>
        <w:numPr>
          <w:ilvl w:val="0"/>
          <w:numId w:val="2"/>
        </w:numPr>
        <w:tabs>
          <w:tab w:pos="450" w:val="left" w:leader="none"/>
        </w:tabs>
        <w:spacing w:line="242" w:lineRule="auto" w:before="1" w:after="0"/>
        <w:ind w:left="694" w:right="335" w:hanging="528"/>
        <w:jc w:val="both"/>
        <w:rPr>
          <w:sz w:val="28"/>
        </w:rPr>
      </w:pPr>
      <w:r>
        <w:rPr>
          <w:color w:val="333333"/>
          <w:spacing w:val="-3"/>
          <w:sz w:val="28"/>
        </w:rPr>
        <w:t>投标产品须支持国密算法，投标产品制造商对于投标的国密认证产品须提供《商用密码产品生产定点单位证书》、《商用密码产品销售许可证》及《商用密码产品型号证书》等证书。</w:t>
      </w:r>
    </w:p>
    <w:p>
      <w:pPr>
        <w:pStyle w:val="BodyText"/>
        <w:spacing w:before="11"/>
        <w:rPr>
          <w:sz w:val="21"/>
        </w:rPr>
      </w:pPr>
    </w:p>
    <w:p>
      <w:pPr>
        <w:pStyle w:val="ListParagraph"/>
        <w:numPr>
          <w:ilvl w:val="0"/>
          <w:numId w:val="2"/>
        </w:numPr>
        <w:tabs>
          <w:tab w:pos="450" w:val="left" w:leader="none"/>
        </w:tabs>
        <w:spacing w:line="240" w:lineRule="auto" w:before="0" w:after="0"/>
        <w:ind w:left="449" w:right="0" w:hanging="284"/>
        <w:jc w:val="left"/>
        <w:rPr>
          <w:sz w:val="28"/>
        </w:rPr>
      </w:pPr>
      <w:r>
        <w:rPr>
          <w:color w:val="333333"/>
          <w:spacing w:val="-3"/>
          <w:sz w:val="28"/>
        </w:rPr>
        <w:t>本项目不接受联合体投标。</w:t>
      </w:r>
    </w:p>
    <w:p>
      <w:pPr>
        <w:pStyle w:val="BodyText"/>
        <w:spacing w:before="3"/>
        <w:rPr>
          <w:sz w:val="22"/>
        </w:rPr>
      </w:pPr>
    </w:p>
    <w:p>
      <w:pPr>
        <w:pStyle w:val="BodyText"/>
        <w:spacing w:line="244" w:lineRule="auto"/>
        <w:ind w:left="200" w:right="163" w:firstLine="420"/>
      </w:pPr>
      <w:r>
        <w:rPr>
          <w:color w:val="333333"/>
        </w:rPr>
        <w:t>获取招标文件方式：现场购买或邮购，原件核查的项目须到现场办理。投标人代表需携带以下资料购买招标文件：投标人营业执照</w:t>
      </w:r>
    </w:p>
    <w:p>
      <w:pPr>
        <w:spacing w:after="0" w:line="244" w:lineRule="auto"/>
        <w:sectPr>
          <w:pgSz w:w="11910" w:h="16840"/>
          <w:pgMar w:top="1380" w:bottom="280" w:left="1600" w:right="1680"/>
        </w:sectPr>
      </w:pPr>
    </w:p>
    <w:p>
      <w:pPr>
        <w:pStyle w:val="BodyText"/>
        <w:spacing w:line="242" w:lineRule="auto" w:before="43"/>
        <w:ind w:left="200" w:right="302"/>
        <w:jc w:val="both"/>
      </w:pPr>
      <w:r>
        <w:rPr>
          <w:color w:val="333333"/>
        </w:rPr>
        <w:t>（或法人登记证）副本复印件、组织机构代码证复印件，以上资料均需加盖投标人公章。对已领取“三证合一”的法人证照的单位无需提供组织机构代码证。</w:t>
      </w:r>
    </w:p>
    <w:p>
      <w:pPr>
        <w:pStyle w:val="BodyText"/>
        <w:spacing w:before="1"/>
        <w:rPr>
          <w:sz w:val="22"/>
        </w:rPr>
      </w:pPr>
    </w:p>
    <w:p>
      <w:pPr>
        <w:pStyle w:val="BodyText"/>
        <w:spacing w:line="242" w:lineRule="auto"/>
        <w:ind w:left="200" w:right="163" w:firstLine="420"/>
      </w:pPr>
      <w:r>
        <w:rPr>
          <w:color w:val="333333"/>
        </w:rPr>
        <w:t>报名资料参与正式投标时须放入投标文件中；对报名投标人资格要求的合格性由负责本项目投标人资格审查的人员在审查时进行评判和论断。</w:t>
      </w:r>
    </w:p>
    <w:p>
      <w:pPr>
        <w:pStyle w:val="BodyText"/>
        <w:spacing w:before="12"/>
        <w:rPr>
          <w:sz w:val="21"/>
        </w:rPr>
      </w:pPr>
    </w:p>
    <w:p>
      <w:pPr>
        <w:pStyle w:val="BodyText"/>
        <w:spacing w:line="242" w:lineRule="auto"/>
        <w:ind w:left="684" w:right="137" w:hanging="528"/>
      </w:pPr>
      <w:r>
        <w:rPr>
          <w:color w:val="333333"/>
          <w:spacing w:val="-8"/>
        </w:rPr>
        <w:t>六、符合资格的投标人应当在 </w:t>
      </w:r>
      <w:r>
        <w:rPr>
          <w:color w:val="333333"/>
        </w:rPr>
        <w:t>2019</w:t>
      </w:r>
      <w:r>
        <w:rPr>
          <w:color w:val="333333"/>
          <w:spacing w:val="-47"/>
        </w:rPr>
        <w:t> 年 </w:t>
      </w:r>
      <w:r>
        <w:rPr>
          <w:color w:val="333333"/>
        </w:rPr>
        <w:t>5</w:t>
      </w:r>
      <w:r>
        <w:rPr>
          <w:color w:val="333333"/>
          <w:spacing w:val="-48"/>
        </w:rPr>
        <w:t> 月 </w:t>
      </w:r>
      <w:r>
        <w:rPr>
          <w:color w:val="333333"/>
        </w:rPr>
        <w:t>31</w:t>
      </w:r>
      <w:r>
        <w:rPr>
          <w:color w:val="333333"/>
          <w:spacing w:val="-30"/>
        </w:rPr>
        <w:t> 日起至 </w:t>
      </w:r>
      <w:r>
        <w:rPr>
          <w:color w:val="333333"/>
        </w:rPr>
        <w:t>2019</w:t>
      </w:r>
      <w:r>
        <w:rPr>
          <w:color w:val="333333"/>
          <w:spacing w:val="-48"/>
        </w:rPr>
        <w:t> 年 </w:t>
      </w:r>
      <w:r>
        <w:rPr>
          <w:color w:val="333333"/>
        </w:rPr>
        <w:t>6</w:t>
      </w:r>
      <w:r>
        <w:rPr>
          <w:color w:val="333333"/>
          <w:spacing w:val="-47"/>
        </w:rPr>
        <w:t> 月 </w:t>
      </w:r>
      <w:r>
        <w:rPr>
          <w:color w:val="333333"/>
        </w:rPr>
        <w:t>18 </w:t>
      </w:r>
      <w:r>
        <w:rPr>
          <w:color w:val="333333"/>
          <w:spacing w:val="-2"/>
        </w:rPr>
        <w:t>日期间</w:t>
      </w:r>
      <w:r>
        <w:rPr>
          <w:color w:val="333333"/>
        </w:rPr>
        <w:t>（</w:t>
      </w:r>
      <w:r>
        <w:rPr>
          <w:color w:val="333333"/>
          <w:spacing w:val="-15"/>
        </w:rPr>
        <w:t>工作日上午 </w:t>
      </w:r>
      <w:r>
        <w:rPr>
          <w:color w:val="333333"/>
        </w:rPr>
        <w:t>9:00-12:00</w:t>
      </w:r>
      <w:r>
        <w:rPr>
          <w:color w:val="333333"/>
          <w:spacing w:val="-30"/>
        </w:rPr>
        <w:t> 和下午 </w:t>
      </w:r>
      <w:r>
        <w:rPr>
          <w:color w:val="333333"/>
        </w:rPr>
        <w:t>14:00-17:00</w:t>
      </w:r>
      <w:r>
        <w:rPr>
          <w:color w:val="333333"/>
          <w:spacing w:val="-2"/>
        </w:rPr>
        <w:t>，法定节假日除外</w:t>
      </w:r>
      <w:r>
        <w:rPr>
          <w:color w:val="333333"/>
          <w:spacing w:val="-3"/>
        </w:rPr>
        <w:t>）</w:t>
      </w:r>
      <w:r>
        <w:rPr>
          <w:color w:val="333333"/>
        </w:rPr>
        <w:t>到</w:t>
      </w:r>
      <w:r>
        <w:rPr>
          <w:color w:val="333333"/>
          <w:spacing w:val="-3"/>
          <w:u w:val="single" w:color="333333"/>
        </w:rPr>
        <w:t>广东志正招标有限公司</w:t>
      </w:r>
      <w:r>
        <w:rPr>
          <w:color w:val="333333"/>
        </w:rPr>
        <w:t>（</w:t>
      </w:r>
      <w:r>
        <w:rPr>
          <w:color w:val="333333"/>
          <w:spacing w:val="-3"/>
        </w:rPr>
        <w:t>详细地址：</w:t>
      </w:r>
      <w:r>
        <w:rPr>
          <w:color w:val="333333"/>
          <w:spacing w:val="-2"/>
          <w:u w:val="single" w:color="333333"/>
        </w:rPr>
        <w:t>广州市天河</w:t>
      </w:r>
      <w:r>
        <w:rPr>
          <w:color w:val="333333"/>
          <w:spacing w:val="-17"/>
          <w:u w:val="single" w:color="333333"/>
        </w:rPr>
        <w:t>区天阳路 </w:t>
      </w:r>
      <w:r>
        <w:rPr>
          <w:color w:val="333333"/>
          <w:u w:val="single" w:color="333333"/>
        </w:rPr>
        <w:t>153、157</w:t>
      </w:r>
      <w:r>
        <w:rPr>
          <w:color w:val="333333"/>
          <w:spacing w:val="-22"/>
          <w:u w:val="single" w:color="333333"/>
        </w:rPr>
        <w:t> 号南骏中心 </w:t>
      </w:r>
      <w:r>
        <w:rPr>
          <w:color w:val="333333"/>
          <w:u w:val="single" w:color="333333"/>
        </w:rPr>
        <w:t>301-303</w:t>
      </w:r>
      <w:r>
        <w:rPr>
          <w:color w:val="333333"/>
          <w:spacing w:val="-36"/>
          <w:u w:val="single" w:color="333333"/>
        </w:rPr>
        <w:t> 室</w:t>
      </w:r>
      <w:r>
        <w:rPr>
          <w:color w:val="333333"/>
        </w:rPr>
        <w:t>）</w:t>
      </w:r>
      <w:r>
        <w:rPr>
          <w:color w:val="333333"/>
          <w:spacing w:val="-3"/>
        </w:rPr>
        <w:t>购买招标文件，招</w:t>
      </w:r>
      <w:r>
        <w:rPr>
          <w:color w:val="333333"/>
          <w:spacing w:val="-12"/>
        </w:rPr>
        <w:t>标文件每套售价 </w:t>
      </w:r>
      <w:r>
        <w:rPr>
          <w:color w:val="333333"/>
        </w:rPr>
        <w:t>500</w:t>
      </w:r>
      <w:r>
        <w:rPr>
          <w:color w:val="333333"/>
          <w:spacing w:val="-35"/>
        </w:rPr>
        <w:t> 元</w:t>
      </w:r>
      <w:r>
        <w:rPr>
          <w:color w:val="333333"/>
          <w:spacing w:val="-3"/>
        </w:rPr>
        <w:t>（人民币，现场报名的只接受现金</w:t>
      </w:r>
      <w:r>
        <w:rPr>
          <w:color w:val="333333"/>
        </w:rPr>
        <w:t>）， </w:t>
      </w:r>
      <w:r>
        <w:rPr>
          <w:color w:val="333333"/>
          <w:spacing w:val="-2"/>
        </w:rPr>
        <w:t>售后不退。</w:t>
      </w:r>
    </w:p>
    <w:p>
      <w:pPr>
        <w:pStyle w:val="BodyText"/>
        <w:spacing w:before="4"/>
        <w:rPr>
          <w:sz w:val="22"/>
        </w:rPr>
      </w:pPr>
    </w:p>
    <w:p>
      <w:pPr>
        <w:pStyle w:val="BodyText"/>
        <w:ind w:left="156"/>
      </w:pPr>
      <w:r>
        <w:rPr>
          <w:color w:val="333333"/>
        </w:rPr>
        <w:t>七、投标截止时间：2019 年 6 月 20 日上午 9:30</w:t>
      </w:r>
    </w:p>
    <w:p>
      <w:pPr>
        <w:pStyle w:val="BodyText"/>
        <w:spacing w:before="2"/>
        <w:rPr>
          <w:sz w:val="22"/>
        </w:rPr>
      </w:pPr>
    </w:p>
    <w:p>
      <w:pPr>
        <w:pStyle w:val="BodyText"/>
        <w:spacing w:line="242" w:lineRule="auto" w:before="1"/>
        <w:ind w:left="723" w:right="206" w:hanging="567"/>
      </w:pPr>
      <w:r>
        <w:rPr>
          <w:color w:val="333333"/>
          <w:spacing w:val="-7"/>
        </w:rPr>
        <w:t>八、投标文件提交地点：广州市天河区天阳路 </w:t>
      </w:r>
      <w:r>
        <w:rPr>
          <w:color w:val="333333"/>
        </w:rPr>
        <w:t>153、157</w:t>
      </w:r>
      <w:r>
        <w:rPr>
          <w:color w:val="333333"/>
          <w:spacing w:val="-14"/>
        </w:rPr>
        <w:t> 号南骏中心3</w:t>
      </w:r>
      <w:r>
        <w:rPr>
          <w:color w:val="333333"/>
          <w:spacing w:val="-10"/>
        </w:rPr>
        <w:t> 楼广东志正招标有限公司会议室</w:t>
      </w:r>
    </w:p>
    <w:p>
      <w:pPr>
        <w:pStyle w:val="BodyText"/>
        <w:spacing w:before="11"/>
        <w:rPr>
          <w:sz w:val="21"/>
        </w:rPr>
      </w:pPr>
    </w:p>
    <w:p>
      <w:pPr>
        <w:pStyle w:val="BodyText"/>
        <w:ind w:left="115"/>
      </w:pPr>
      <w:r>
        <w:rPr>
          <w:color w:val="333333"/>
        </w:rPr>
        <w:t>九、开标评标时间：2019 年 6 月 20 日上午 9:30</w:t>
      </w:r>
    </w:p>
    <w:p>
      <w:pPr>
        <w:pStyle w:val="BodyText"/>
        <w:spacing w:before="3"/>
        <w:rPr>
          <w:sz w:val="22"/>
        </w:rPr>
      </w:pPr>
    </w:p>
    <w:p>
      <w:pPr>
        <w:pStyle w:val="BodyText"/>
        <w:spacing w:line="244" w:lineRule="auto"/>
        <w:ind w:left="723" w:right="206" w:hanging="567"/>
      </w:pPr>
      <w:r>
        <w:rPr>
          <w:color w:val="333333"/>
          <w:spacing w:val="-7"/>
        </w:rPr>
        <w:t>十、开标评标地点：广州市天河区天阳路 </w:t>
      </w:r>
      <w:r>
        <w:rPr>
          <w:color w:val="333333"/>
        </w:rPr>
        <w:t>153</w:t>
      </w:r>
      <w:r>
        <w:rPr>
          <w:color w:val="333333"/>
          <w:spacing w:val="-3"/>
        </w:rPr>
        <w:t>、</w:t>
      </w:r>
      <w:r>
        <w:rPr>
          <w:color w:val="333333"/>
        </w:rPr>
        <w:t>157</w:t>
      </w:r>
      <w:r>
        <w:rPr>
          <w:color w:val="333333"/>
          <w:spacing w:val="-22"/>
        </w:rPr>
        <w:t> 号南骏中心 </w:t>
      </w:r>
      <w:r>
        <w:rPr>
          <w:color w:val="333333"/>
        </w:rPr>
        <w:t>3</w:t>
      </w:r>
      <w:r>
        <w:rPr>
          <w:color w:val="333333"/>
          <w:spacing w:val="-34"/>
        </w:rPr>
        <w:t> 楼</w:t>
      </w:r>
      <w:r>
        <w:rPr>
          <w:color w:val="333333"/>
          <w:spacing w:val="-7"/>
        </w:rPr>
        <w:t>广东志正招标有限公司会议室</w:t>
      </w:r>
    </w:p>
    <w:p>
      <w:pPr>
        <w:pStyle w:val="BodyText"/>
        <w:spacing w:before="5"/>
        <w:rPr>
          <w:sz w:val="21"/>
        </w:rPr>
      </w:pPr>
    </w:p>
    <w:p>
      <w:pPr>
        <w:spacing w:before="0"/>
        <w:ind w:left="0" w:right="117" w:firstLine="0"/>
        <w:jc w:val="right"/>
        <w:rPr>
          <w:b/>
          <w:sz w:val="28"/>
        </w:rPr>
      </w:pPr>
      <w:r>
        <w:rPr>
          <w:b/>
          <w:color w:val="333333"/>
          <w:spacing w:val="-1"/>
          <w:w w:val="95"/>
          <w:sz w:val="28"/>
        </w:rPr>
        <w:t>广东省农村信用社联合社</w:t>
      </w:r>
    </w:p>
    <w:p>
      <w:pPr>
        <w:pStyle w:val="BodyText"/>
        <w:spacing w:before="2"/>
        <w:rPr>
          <w:b/>
          <w:sz w:val="22"/>
        </w:rPr>
      </w:pPr>
    </w:p>
    <w:p>
      <w:pPr>
        <w:spacing w:before="0"/>
        <w:ind w:left="0" w:right="112" w:firstLine="0"/>
        <w:jc w:val="right"/>
        <w:rPr>
          <w:b/>
          <w:sz w:val="28"/>
        </w:rPr>
      </w:pPr>
      <w:r>
        <w:rPr>
          <w:b/>
          <w:sz w:val="24"/>
        </w:rPr>
        <w:t>2019</w:t>
      </w:r>
      <w:r>
        <w:rPr>
          <w:b/>
          <w:spacing w:val="-65"/>
          <w:sz w:val="24"/>
        </w:rPr>
        <w:t> </w:t>
      </w:r>
      <w:r>
        <w:rPr>
          <w:b/>
          <w:color w:val="333333"/>
          <w:spacing w:val="-35"/>
          <w:sz w:val="28"/>
        </w:rPr>
        <w:t>年 </w:t>
      </w:r>
      <w:r>
        <w:rPr>
          <w:b/>
          <w:sz w:val="24"/>
        </w:rPr>
        <w:t>5</w:t>
      </w:r>
      <w:r>
        <w:rPr>
          <w:b/>
          <w:spacing w:val="-61"/>
          <w:sz w:val="24"/>
        </w:rPr>
        <w:t> </w:t>
      </w:r>
      <w:r>
        <w:rPr>
          <w:b/>
          <w:color w:val="333333"/>
          <w:spacing w:val="-36"/>
          <w:sz w:val="28"/>
        </w:rPr>
        <w:t>月 </w:t>
      </w:r>
      <w:r>
        <w:rPr>
          <w:b/>
          <w:sz w:val="24"/>
        </w:rPr>
        <w:t>31</w:t>
      </w:r>
      <w:r>
        <w:rPr>
          <w:b/>
          <w:spacing w:val="-61"/>
          <w:sz w:val="24"/>
        </w:rPr>
        <w:t> </w:t>
      </w:r>
      <w:r>
        <w:rPr>
          <w:b/>
          <w:color w:val="333333"/>
          <w:sz w:val="28"/>
        </w:rPr>
        <w:t>日</w:t>
      </w:r>
    </w:p>
    <w:p>
      <w:pPr>
        <w:pStyle w:val="BodyText"/>
        <w:rPr>
          <w:b/>
        </w:rPr>
      </w:pPr>
    </w:p>
    <w:p>
      <w:pPr>
        <w:pStyle w:val="BodyText"/>
        <w:rPr>
          <w:b/>
        </w:rPr>
      </w:pPr>
    </w:p>
    <w:p>
      <w:pPr>
        <w:pStyle w:val="BodyText"/>
        <w:spacing w:before="210"/>
        <w:ind w:left="200"/>
      </w:pPr>
      <w:r>
        <w:rPr>
          <w:spacing w:val="-3"/>
        </w:rPr>
        <w:t>详细情况请见链接：</w:t>
      </w:r>
    </w:p>
    <w:p>
      <w:pPr>
        <w:pStyle w:val="BodyText"/>
        <w:spacing w:before="3"/>
        <w:rPr>
          <w:sz w:val="22"/>
        </w:rPr>
      </w:pPr>
    </w:p>
    <w:p>
      <w:pPr>
        <w:pStyle w:val="BodyText"/>
        <w:spacing w:line="242" w:lineRule="auto"/>
        <w:ind w:left="200" w:right="295"/>
      </w:pPr>
      <w:hyperlink r:id="rId5">
        <w:r>
          <w:rPr>
            <w:spacing w:val="-1"/>
          </w:rPr>
          <w:t>http://www.zztender.com/tender/5bf4e003ebfca/p-</w:t>
        </w:r>
      </w:hyperlink>
      <w:r>
        <w:rPr>
          <w:spacing w:val="-1"/>
        </w:rPr>
        <w:t> </w:t>
      </w:r>
      <w:r>
        <w:rPr/>
        <w:t>5cefa806bf1b2.html</w:t>
      </w:r>
    </w:p>
    <w:sectPr>
      <w:pgSz w:w="11910" w:h="16840"/>
      <w:pgMar w:top="1380" w:bottom="280" w:left="160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1">
    <w:multiLevelType w:val="hybridMultilevel"/>
    <w:lvl w:ilvl="0">
      <w:start w:val="1"/>
      <w:numFmt w:val="decimal"/>
      <w:lvlText w:val="%1."/>
      <w:lvlJc w:val="left"/>
      <w:pPr>
        <w:ind w:left="694" w:hanging="284"/>
        <w:jc w:val="left"/>
      </w:pPr>
      <w:rPr>
        <w:rFonts w:hint="default" w:ascii="宋体" w:hAnsi="宋体" w:eastAsia="宋体" w:cs="宋体"/>
        <w:color w:val="333333"/>
        <w:spacing w:val="-2"/>
        <w:w w:val="100"/>
        <w:sz w:val="26"/>
        <w:szCs w:val="26"/>
        <w:lang w:val="zh-CN" w:eastAsia="zh-CN" w:bidi="zh-CN"/>
      </w:rPr>
    </w:lvl>
    <w:lvl w:ilvl="1">
      <w:start w:val="1"/>
      <w:numFmt w:val="decimal"/>
      <w:lvlText w:val="%2."/>
      <w:lvlJc w:val="left"/>
      <w:pPr>
        <w:ind w:left="972" w:hanging="284"/>
        <w:jc w:val="left"/>
      </w:pPr>
      <w:rPr>
        <w:rFonts w:hint="default" w:ascii="宋体" w:hAnsi="宋体" w:eastAsia="宋体" w:cs="宋体"/>
        <w:color w:val="333333"/>
        <w:spacing w:val="-4"/>
        <w:w w:val="100"/>
        <w:sz w:val="26"/>
        <w:szCs w:val="26"/>
        <w:lang w:val="zh-CN" w:eastAsia="zh-CN" w:bidi="zh-CN"/>
      </w:rPr>
    </w:lvl>
    <w:lvl w:ilvl="2">
      <w:start w:val="0"/>
      <w:numFmt w:val="bullet"/>
      <w:lvlText w:val="•"/>
      <w:lvlJc w:val="left"/>
      <w:pPr>
        <w:ind w:left="1829" w:hanging="284"/>
      </w:pPr>
      <w:rPr>
        <w:rFonts w:hint="default"/>
        <w:lang w:val="zh-CN" w:eastAsia="zh-CN" w:bidi="zh-CN"/>
      </w:rPr>
    </w:lvl>
    <w:lvl w:ilvl="3">
      <w:start w:val="0"/>
      <w:numFmt w:val="bullet"/>
      <w:lvlText w:val="•"/>
      <w:lvlJc w:val="left"/>
      <w:pPr>
        <w:ind w:left="2679" w:hanging="284"/>
      </w:pPr>
      <w:rPr>
        <w:rFonts w:hint="default"/>
        <w:lang w:val="zh-CN" w:eastAsia="zh-CN" w:bidi="zh-CN"/>
      </w:rPr>
    </w:lvl>
    <w:lvl w:ilvl="4">
      <w:start w:val="0"/>
      <w:numFmt w:val="bullet"/>
      <w:lvlText w:val="•"/>
      <w:lvlJc w:val="left"/>
      <w:pPr>
        <w:ind w:left="3528" w:hanging="284"/>
      </w:pPr>
      <w:rPr>
        <w:rFonts w:hint="default"/>
        <w:lang w:val="zh-CN" w:eastAsia="zh-CN" w:bidi="zh-CN"/>
      </w:rPr>
    </w:lvl>
    <w:lvl w:ilvl="5">
      <w:start w:val="0"/>
      <w:numFmt w:val="bullet"/>
      <w:lvlText w:val="•"/>
      <w:lvlJc w:val="left"/>
      <w:pPr>
        <w:ind w:left="4378" w:hanging="284"/>
      </w:pPr>
      <w:rPr>
        <w:rFonts w:hint="default"/>
        <w:lang w:val="zh-CN" w:eastAsia="zh-CN" w:bidi="zh-CN"/>
      </w:rPr>
    </w:lvl>
    <w:lvl w:ilvl="6">
      <w:start w:val="0"/>
      <w:numFmt w:val="bullet"/>
      <w:lvlText w:val="•"/>
      <w:lvlJc w:val="left"/>
      <w:pPr>
        <w:ind w:left="5227" w:hanging="284"/>
      </w:pPr>
      <w:rPr>
        <w:rFonts w:hint="default"/>
        <w:lang w:val="zh-CN" w:eastAsia="zh-CN" w:bidi="zh-CN"/>
      </w:rPr>
    </w:lvl>
    <w:lvl w:ilvl="7">
      <w:start w:val="0"/>
      <w:numFmt w:val="bullet"/>
      <w:lvlText w:val="•"/>
      <w:lvlJc w:val="left"/>
      <w:pPr>
        <w:ind w:left="6077" w:hanging="284"/>
      </w:pPr>
      <w:rPr>
        <w:rFonts w:hint="default"/>
        <w:lang w:val="zh-CN" w:eastAsia="zh-CN" w:bidi="zh-CN"/>
      </w:rPr>
    </w:lvl>
    <w:lvl w:ilvl="8">
      <w:start w:val="0"/>
      <w:numFmt w:val="bullet"/>
      <w:lvlText w:val="•"/>
      <w:lvlJc w:val="left"/>
      <w:pPr>
        <w:ind w:left="6926" w:hanging="284"/>
      </w:pPr>
      <w:rPr>
        <w:rFonts w:hint="default"/>
        <w:lang w:val="zh-CN" w:eastAsia="zh-CN" w:bidi="zh-CN"/>
      </w:rPr>
    </w:lvl>
  </w:abstractNum>
  <w:abstractNum w:abstractNumId="0">
    <w:multiLevelType w:val="hybridMultilevel"/>
    <w:lvl w:ilvl="0">
      <w:start w:val="1"/>
      <w:numFmt w:val="decimal"/>
      <w:lvlText w:val="%1."/>
      <w:lvlJc w:val="left"/>
      <w:pPr>
        <w:ind w:left="968" w:hanging="420"/>
        <w:jc w:val="left"/>
      </w:pPr>
      <w:rPr>
        <w:rFonts w:hint="default" w:ascii="宋体" w:hAnsi="宋体" w:eastAsia="宋体" w:cs="宋体"/>
        <w:color w:val="333333"/>
        <w:spacing w:val="0"/>
        <w:w w:val="100"/>
        <w:sz w:val="28"/>
        <w:szCs w:val="28"/>
        <w:lang w:val="zh-CN" w:eastAsia="zh-CN" w:bidi="zh-CN"/>
      </w:rPr>
    </w:lvl>
    <w:lvl w:ilvl="1">
      <w:start w:val="0"/>
      <w:numFmt w:val="bullet"/>
      <w:lvlText w:val="•"/>
      <w:lvlJc w:val="left"/>
      <w:pPr>
        <w:ind w:left="1726" w:hanging="420"/>
      </w:pPr>
      <w:rPr>
        <w:rFonts w:hint="default"/>
        <w:lang w:val="zh-CN" w:eastAsia="zh-CN" w:bidi="zh-CN"/>
      </w:rPr>
    </w:lvl>
    <w:lvl w:ilvl="2">
      <w:start w:val="0"/>
      <w:numFmt w:val="bullet"/>
      <w:lvlText w:val="•"/>
      <w:lvlJc w:val="left"/>
      <w:pPr>
        <w:ind w:left="2493" w:hanging="420"/>
      </w:pPr>
      <w:rPr>
        <w:rFonts w:hint="default"/>
        <w:lang w:val="zh-CN" w:eastAsia="zh-CN" w:bidi="zh-CN"/>
      </w:rPr>
    </w:lvl>
    <w:lvl w:ilvl="3">
      <w:start w:val="0"/>
      <w:numFmt w:val="bullet"/>
      <w:lvlText w:val="•"/>
      <w:lvlJc w:val="left"/>
      <w:pPr>
        <w:ind w:left="3259" w:hanging="420"/>
      </w:pPr>
      <w:rPr>
        <w:rFonts w:hint="default"/>
        <w:lang w:val="zh-CN" w:eastAsia="zh-CN" w:bidi="zh-CN"/>
      </w:rPr>
    </w:lvl>
    <w:lvl w:ilvl="4">
      <w:start w:val="0"/>
      <w:numFmt w:val="bullet"/>
      <w:lvlText w:val="•"/>
      <w:lvlJc w:val="left"/>
      <w:pPr>
        <w:ind w:left="4026" w:hanging="420"/>
      </w:pPr>
      <w:rPr>
        <w:rFonts w:hint="default"/>
        <w:lang w:val="zh-CN" w:eastAsia="zh-CN" w:bidi="zh-CN"/>
      </w:rPr>
    </w:lvl>
    <w:lvl w:ilvl="5">
      <w:start w:val="0"/>
      <w:numFmt w:val="bullet"/>
      <w:lvlText w:val="•"/>
      <w:lvlJc w:val="left"/>
      <w:pPr>
        <w:ind w:left="4793" w:hanging="420"/>
      </w:pPr>
      <w:rPr>
        <w:rFonts w:hint="default"/>
        <w:lang w:val="zh-CN" w:eastAsia="zh-CN" w:bidi="zh-CN"/>
      </w:rPr>
    </w:lvl>
    <w:lvl w:ilvl="6">
      <w:start w:val="0"/>
      <w:numFmt w:val="bullet"/>
      <w:lvlText w:val="•"/>
      <w:lvlJc w:val="left"/>
      <w:pPr>
        <w:ind w:left="5559" w:hanging="420"/>
      </w:pPr>
      <w:rPr>
        <w:rFonts w:hint="default"/>
        <w:lang w:val="zh-CN" w:eastAsia="zh-CN" w:bidi="zh-CN"/>
      </w:rPr>
    </w:lvl>
    <w:lvl w:ilvl="7">
      <w:start w:val="0"/>
      <w:numFmt w:val="bullet"/>
      <w:lvlText w:val="•"/>
      <w:lvlJc w:val="left"/>
      <w:pPr>
        <w:ind w:left="6326" w:hanging="420"/>
      </w:pPr>
      <w:rPr>
        <w:rFonts w:hint="default"/>
        <w:lang w:val="zh-CN" w:eastAsia="zh-CN" w:bidi="zh-CN"/>
      </w:rPr>
    </w:lvl>
    <w:lvl w:ilvl="8">
      <w:start w:val="0"/>
      <w:numFmt w:val="bullet"/>
      <w:lvlText w:val="•"/>
      <w:lvlJc w:val="left"/>
      <w:pPr>
        <w:ind w:left="7092" w:hanging="420"/>
      </w:pPr>
      <w:rPr>
        <w:rFonts w:hint="default"/>
        <w:lang w:val="zh-CN" w:eastAsia="zh-CN" w:bidi="zh-CN"/>
      </w:rPr>
    </w:lvl>
  </w:abstract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ind w:left="694" w:hanging="284"/>
    </w:pPr>
    <w:rPr>
      <w:rFonts w:ascii="宋体" w:hAnsi="宋体" w:eastAsia="宋体" w:cs="宋体"/>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zztender.com/tender/5bf4e003ebfca/p-" TargetMode="Externa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2021-07-04T16:59:22Z</dcterms:created>
  <dcterms:modified xsi:type="dcterms:W3CDTF">2021-07-04T16:59:22Z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