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方正小标宋简体" w:eastAsia="方正小标宋简体" w:cs="方正小标宋简体"/>
          <w:kern w:val="0"/>
          <w:sz w:val="52"/>
          <w:szCs w:val="52"/>
          <w:highlight w:val="none"/>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-962025</wp:posOffset>
                </wp:positionH>
                <wp:positionV relativeFrom="paragraph">
                  <wp:posOffset>1038225</wp:posOffset>
                </wp:positionV>
                <wp:extent cx="7277100" cy="883920"/>
                <wp:effectExtent l="0" t="0" r="0" b="0"/>
                <wp:wrapSquare wrapText="bothSides"/>
                <wp:docPr id="16" name="文本框 11"/>
                <wp:cNvGraphicFramePr/>
                <a:graphic xmlns:a="http://schemas.openxmlformats.org/drawingml/2006/main">
                  <a:graphicData uri="http://schemas.microsoft.com/office/word/2010/wordprocessingShape">
                    <wps:wsp>
                      <wps:cNvSpPr txBox="1"/>
                      <wps:spPr>
                        <a:xfrm>
                          <a:off x="0" y="0"/>
                          <a:ext cx="7277100" cy="883920"/>
                        </a:xfrm>
                        <a:prstGeom prst="rect">
                          <a:avLst/>
                        </a:prstGeom>
                        <a:noFill/>
                        <a:ln>
                          <a:noFill/>
                        </a:ln>
                        <a:effectLst/>
                      </wps:spPr>
                      <wps:txbx>
                        <w:txbxContent>
                          <w:p>
                            <w:pPr>
                              <w:autoSpaceDE w:val="0"/>
                              <w:autoSpaceDN w:val="0"/>
                              <w:adjustRightInd w:val="0"/>
                              <w:jc w:val="center"/>
                              <w:rPr>
                                <w:rFonts w:ascii="方正小标宋_GBK" w:eastAsia="方正小标宋_GBK" w:cs="方正小标宋简体"/>
                                <w:b/>
                                <w:color w:val="FD420F"/>
                                <w:kern w:val="0"/>
                                <w:sz w:val="64"/>
                                <w:szCs w:val="64"/>
                              </w:rPr>
                            </w:pPr>
                            <w:r>
                              <w:rPr>
                                <w:rFonts w:hint="eastAsia" w:ascii="方正小标宋_GBK" w:eastAsia="方正小标宋_GBK" w:cs="方正小标宋简体"/>
                                <w:b/>
                                <w:color w:val="FD420F"/>
                                <w:kern w:val="0"/>
                                <w:sz w:val="64"/>
                                <w:szCs w:val="64"/>
                              </w:rPr>
                              <w:t>广东广宁农村商业银行股份有限公司</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flat" dir="tl">
                            <a:rot lat="0" lon="0" rev="6600000"/>
                          </a:lightRig>
                        </a:scene3d>
                        <a:sp3d extrusionH="25400" contourW="8890">
                          <a:bevelT w="38100" h="31750"/>
                          <a:contourClr>
                            <a:srgbClr val="A94543">
                              <a:shade val="75000"/>
                            </a:srgbClr>
                          </a:contourClr>
                        </a:sp3d>
                      </wps:bodyPr>
                    </wps:wsp>
                  </a:graphicData>
                </a:graphic>
              </wp:anchor>
            </w:drawing>
          </mc:Choice>
          <mc:Fallback>
            <w:pict>
              <v:shape id="文本框 11" o:spid="_x0000_s1026" o:spt="202" type="#_x0000_t202" style="position:absolute;left:0pt;margin-left:-75.75pt;margin-top:81.75pt;height:69.6pt;width:573pt;mso-wrap-distance-bottom:0pt;mso-wrap-distance-left:9pt;mso-wrap-distance-right:9pt;mso-wrap-distance-top:0pt;z-index:251665408;mso-width-relative:page;mso-height-relative:page;" filled="f" stroked="f" coordsize="21600,21600" o:gfxdata="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RgOpOdgAAAAMAQAADwAAAAAAAAABACAAAAAiAAAAZHJzL2Rvd25yZXYueG1sUEsBAhQA&#10;FAAAAAgAh07iQJmBO6HWAgAApQUAAA4AAAAAAAAAAQAgAAAAJwEAAGRycy9lMm9Eb2MueG1sUEsF&#10;BgAAAAAGAAYAWQEAAG8GAAAAAA==&#10;">
                <v:fill on="f" focussize="0,0"/>
                <v:stroke on="f"/>
                <v:imagedata o:title=""/>
                <o:lock v:ext="edit" aspectratio="f"/>
                <v:textbox style="mso-fit-shape-to-text:t;">
                  <w:txbxContent>
                    <w:p>
                      <w:pPr>
                        <w:autoSpaceDE w:val="0"/>
                        <w:autoSpaceDN w:val="0"/>
                        <w:adjustRightInd w:val="0"/>
                        <w:jc w:val="center"/>
                        <w:rPr>
                          <w:rFonts w:ascii="方正小标宋_GBK" w:eastAsia="方正小标宋_GBK" w:cs="方正小标宋简体"/>
                          <w:b/>
                          <w:color w:val="FD420F"/>
                          <w:kern w:val="0"/>
                          <w:sz w:val="64"/>
                          <w:szCs w:val="64"/>
                        </w:rPr>
                      </w:pPr>
                      <w:r>
                        <w:rPr>
                          <w:rFonts w:hint="eastAsia" w:ascii="方正小标宋_GBK" w:eastAsia="方正小标宋_GBK" w:cs="方正小标宋简体"/>
                          <w:b/>
                          <w:color w:val="FD420F"/>
                          <w:kern w:val="0"/>
                          <w:sz w:val="64"/>
                          <w:szCs w:val="64"/>
                        </w:rPr>
                        <w:t>广东广宁农村商业银行股份有限公司</w:t>
                      </w:r>
                    </w:p>
                  </w:txbxContent>
                </v:textbox>
                <w10:wrap type="square"/>
              </v:shape>
            </w:pict>
          </mc:Fallback>
        </mc:AlternateContent>
      </w:r>
    </w:p>
    <w:p>
      <w:pPr>
        <w:autoSpaceDE w:val="0"/>
        <w:autoSpaceDN w:val="0"/>
        <w:adjustRightInd w:val="0"/>
        <w:jc w:val="center"/>
        <w:rPr>
          <w:rFonts w:ascii="方正小标宋简体" w:eastAsia="方正小标宋简体" w:cs="方正小标宋简体"/>
          <w:kern w:val="0"/>
          <w:sz w:val="52"/>
          <w:szCs w:val="52"/>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1231265</wp:posOffset>
                </wp:positionH>
                <wp:positionV relativeFrom="paragraph">
                  <wp:posOffset>1331595</wp:posOffset>
                </wp:positionV>
                <wp:extent cx="2802255" cy="883920"/>
                <wp:effectExtent l="0" t="0" r="0" b="0"/>
                <wp:wrapSquare wrapText="bothSides"/>
                <wp:docPr id="17" name="文本框 16"/>
                <wp:cNvGraphicFramePr/>
                <a:graphic xmlns:a="http://schemas.openxmlformats.org/drawingml/2006/main">
                  <a:graphicData uri="http://schemas.microsoft.com/office/word/2010/wordprocessingShape">
                    <wps:wsp>
                      <wps:cNvSpPr txBox="1"/>
                      <wps:spPr>
                        <a:xfrm>
                          <a:off x="0" y="0"/>
                          <a:ext cx="2802255" cy="883920"/>
                        </a:xfrm>
                        <a:prstGeom prst="rect">
                          <a:avLst/>
                        </a:prstGeom>
                        <a:noFill/>
                        <a:ln>
                          <a:noFill/>
                        </a:ln>
                        <a:effectLst/>
                      </wps:spPr>
                      <wps:txbx>
                        <w:txbxContent>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2 0 2</w:t>
                            </w:r>
                            <w:r>
                              <w:rPr>
                                <w:rFonts w:hint="eastAsia" w:ascii="方正小标宋_GBK" w:eastAsia="方正小标宋_GBK" w:cs="方正小标宋简体"/>
                                <w:b/>
                                <w:color w:val="FD420F"/>
                                <w:kern w:val="0"/>
                                <w:sz w:val="72"/>
                                <w:szCs w:val="64"/>
                                <w:lang w:val="en-US" w:eastAsia="zh-CN"/>
                              </w:rPr>
                              <w:t xml:space="preserve"> 5</w:t>
                            </w:r>
                            <w:r>
                              <w:rPr>
                                <w:rFonts w:hint="eastAsia" w:ascii="方正小标宋_GBK" w:eastAsia="方正小标宋_GBK" w:cs="方正小标宋简体"/>
                                <w:b/>
                                <w:color w:val="FD420F"/>
                                <w:kern w:val="0"/>
                                <w:sz w:val="72"/>
                                <w:szCs w:val="64"/>
                              </w:rPr>
                              <w:t xml:space="preserve"> 年</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flat" dir="tl">
                            <a:rot lat="0" lon="0" rev="6600000"/>
                          </a:lightRig>
                        </a:scene3d>
                        <a:sp3d extrusionH="25400" contourW="8890">
                          <a:bevelT w="38100" h="31750"/>
                          <a:contourClr>
                            <a:srgbClr val="A94543">
                              <a:shade val="75000"/>
                            </a:srgbClr>
                          </a:contourClr>
                        </a:sp3d>
                      </wps:bodyPr>
                    </wps:wsp>
                  </a:graphicData>
                </a:graphic>
              </wp:anchor>
            </w:drawing>
          </mc:Choice>
          <mc:Fallback>
            <w:pict>
              <v:shape id="文本框 16" o:spid="_x0000_s1026" o:spt="202" type="#_x0000_t202" style="position:absolute;left:0pt;margin-left:96.95pt;margin-top:104.85pt;height:69.6pt;width:220.65pt;mso-wrap-distance-bottom:0pt;mso-wrap-distance-left:9pt;mso-wrap-distance-right:9pt;mso-wrap-distance-top:0pt;z-index:251667456;mso-width-relative:page;mso-height-relative:page;" filled="f" stroked="f" coordsize="21600,21600" o:gfxdata="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BdPZzZAAAACwEAAA8AAAAAAAAAAQAgAAAAIgAAAGRycy9kb3ducmV2LnhtbFBLAQIU&#10;ABQAAAAIAIdO4kC9VgOb1gIAAKUFAAAOAAAAAAAAAAEAIAAAACgBAABkcnMvZTJvRG9jLnhtbFBL&#10;BQYAAAAABgAGAFkBAABwBgAAAAA=&#10;">
                <v:fill on="f" focussize="0,0"/>
                <v:stroke on="f"/>
                <v:imagedata o:title=""/>
                <o:lock v:ext="edit" aspectratio="f"/>
                <v:textbox style="mso-fit-shape-to-text:t;">
                  <w:txbxContent>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2 0 2</w:t>
                      </w:r>
                      <w:r>
                        <w:rPr>
                          <w:rFonts w:hint="eastAsia" w:ascii="方正小标宋_GBK" w:eastAsia="方正小标宋_GBK" w:cs="方正小标宋简体"/>
                          <w:b/>
                          <w:color w:val="FD420F"/>
                          <w:kern w:val="0"/>
                          <w:sz w:val="72"/>
                          <w:szCs w:val="64"/>
                          <w:lang w:val="en-US" w:eastAsia="zh-CN"/>
                        </w:rPr>
                        <w:t xml:space="preserve"> 5</w:t>
                      </w:r>
                      <w:r>
                        <w:rPr>
                          <w:rFonts w:hint="eastAsia" w:ascii="方正小标宋_GBK" w:eastAsia="方正小标宋_GBK" w:cs="方正小标宋简体"/>
                          <w:b/>
                          <w:color w:val="FD420F"/>
                          <w:kern w:val="0"/>
                          <w:sz w:val="72"/>
                          <w:szCs w:val="64"/>
                        </w:rPr>
                        <w:t xml:space="preserve"> 年</w:t>
                      </w:r>
                    </w:p>
                  </w:txbxContent>
                </v:textbox>
                <w10:wrap type="square"/>
              </v:shape>
            </w:pict>
          </mc:Fallback>
        </mc:AlternateContent>
      </w:r>
    </w:p>
    <w:p>
      <w:pPr>
        <w:tabs>
          <w:tab w:val="left" w:pos="5790"/>
        </w:tabs>
        <w:autoSpaceDE w:val="0"/>
        <w:autoSpaceDN w:val="0"/>
        <w:adjustRightInd w:val="0"/>
        <w:jc w:val="left"/>
        <w:rPr>
          <w:rFonts w:ascii="方正小标宋简体" w:eastAsia="方正小标宋简体" w:cs="方正小标宋简体"/>
          <w:kern w:val="0"/>
          <w:sz w:val="52"/>
          <w:szCs w:val="52"/>
          <w:highlight w:val="none"/>
        </w:rPr>
      </w:pPr>
      <w:r>
        <w:rPr>
          <w:highlight w:val="none"/>
        </w:rPr>
        <mc:AlternateContent>
          <mc:Choice Requires="wps">
            <w:drawing>
              <wp:anchor distT="0" distB="0" distL="114300" distR="114300" simplePos="0" relativeHeight="251670528" behindDoc="0" locked="0" layoutInCell="1" allowOverlap="1">
                <wp:simplePos x="0" y="0"/>
                <wp:positionH relativeFrom="column">
                  <wp:posOffset>1668780</wp:posOffset>
                </wp:positionH>
                <wp:positionV relativeFrom="paragraph">
                  <wp:posOffset>411480</wp:posOffset>
                </wp:positionV>
                <wp:extent cx="1967230" cy="883920"/>
                <wp:effectExtent l="0" t="0" r="0" b="0"/>
                <wp:wrapSquare wrapText="bothSides"/>
                <wp:docPr id="20" name="文本框 13"/>
                <wp:cNvGraphicFramePr/>
                <a:graphic xmlns:a="http://schemas.openxmlformats.org/drawingml/2006/main">
                  <a:graphicData uri="http://schemas.microsoft.com/office/word/2010/wordprocessingShape">
                    <wps:wsp>
                      <wps:cNvSpPr txBox="1"/>
                      <wps:spPr>
                        <a:xfrm>
                          <a:off x="0" y="0"/>
                          <a:ext cx="1967230" cy="883920"/>
                        </a:xfrm>
                        <a:prstGeom prst="rect">
                          <a:avLst/>
                        </a:prstGeom>
                        <a:noFill/>
                        <a:ln>
                          <a:noFill/>
                        </a:ln>
                        <a:effectLst/>
                      </wps:spPr>
                      <wps:txbx>
                        <w:txbxContent>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年</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度</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报</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告</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flat" dir="tl">
                            <a:rot lat="0" lon="0" rev="6600000"/>
                          </a:lightRig>
                        </a:scene3d>
                        <a:sp3d extrusionH="25400" contourW="8890">
                          <a:bevelT w="38100" h="31750"/>
                          <a:contourClr>
                            <a:srgbClr val="A94543">
                              <a:shade val="75000"/>
                            </a:srgbClr>
                          </a:contourClr>
                        </a:sp3d>
                      </wps:bodyPr>
                    </wps:wsp>
                  </a:graphicData>
                </a:graphic>
              </wp:anchor>
            </w:drawing>
          </mc:Choice>
          <mc:Fallback>
            <w:pict>
              <v:shape id="文本框 13" o:spid="_x0000_s1026" o:spt="202" type="#_x0000_t202" style="position:absolute;left:0pt;margin-left:131.4pt;margin-top:32.4pt;height:69.6pt;width:154.9pt;mso-wrap-distance-bottom:0pt;mso-wrap-distance-left:9pt;mso-wrap-distance-right:9pt;mso-wrap-distance-top:0pt;z-index:251670528;mso-width-relative:page;mso-height-relative:page;" filled="f" stroked="f" coordsize="21600,21600" o:gfxdata="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iO02NcAAAAKAQAADwAAAAAAAAABACAAAAAiAAAAZHJzL2Rvd25yZXYueG1sUEsBAhQAFAAA&#10;AAgAh07iQIFdTxvUAgAApQUAAA4AAAAAAAAAAQAgAAAAJgEAAGRycy9lMm9Eb2MueG1sUEsFBgAA&#10;AAAGAAYAWQEAAGwGAAAAAA==&#10;">
                <v:fill on="f" focussize="0,0"/>
                <v:stroke on="f"/>
                <v:imagedata o:title=""/>
                <o:lock v:ext="edit" aspectratio="f"/>
                <v:textbox style="mso-fit-shape-to-text:t;">
                  <w:txbxContent>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年</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度</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报</w:t>
                      </w:r>
                    </w:p>
                    <w:p>
                      <w:pPr>
                        <w:autoSpaceDE w:val="0"/>
                        <w:autoSpaceDN w:val="0"/>
                        <w:adjustRightInd w:val="0"/>
                        <w:jc w:val="center"/>
                        <w:rPr>
                          <w:rFonts w:ascii="方正小标宋_GBK" w:eastAsia="方正小标宋_GBK" w:cs="方正小标宋简体"/>
                          <w:b/>
                          <w:color w:val="FD420F"/>
                          <w:kern w:val="0"/>
                          <w:sz w:val="72"/>
                          <w:szCs w:val="64"/>
                        </w:rPr>
                      </w:pPr>
                      <w:r>
                        <w:rPr>
                          <w:rFonts w:hint="eastAsia" w:ascii="方正小标宋_GBK" w:eastAsia="方正小标宋_GBK" w:cs="方正小标宋简体"/>
                          <w:b/>
                          <w:color w:val="FD420F"/>
                          <w:kern w:val="0"/>
                          <w:sz w:val="72"/>
                          <w:szCs w:val="64"/>
                        </w:rPr>
                        <w:t>告</w:t>
                      </w:r>
                    </w:p>
                  </w:txbxContent>
                </v:textbox>
                <w10:wrap type="square"/>
              </v:shape>
            </w:pict>
          </mc:Fallback>
        </mc:AlternateContent>
      </w:r>
      <w:r>
        <w:rPr>
          <w:rFonts w:ascii="方正小标宋简体" w:eastAsia="方正小标宋简体" w:cs="方正小标宋简体"/>
          <w:kern w:val="0"/>
          <w:sz w:val="52"/>
          <w:szCs w:val="52"/>
          <w:highlight w:val="none"/>
        </w:rPr>
        <w:tab/>
      </w:r>
    </w:p>
    <w:p>
      <w:pPr>
        <w:autoSpaceDE w:val="0"/>
        <w:autoSpaceDN w:val="0"/>
        <w:adjustRightInd w:val="0"/>
        <w:jc w:val="center"/>
        <w:rPr>
          <w:rFonts w:ascii="方正小标宋简体" w:eastAsia="方正小标宋简体" w:cs="方正小标宋简体"/>
          <w:kern w:val="0"/>
          <w:sz w:val="52"/>
          <w:szCs w:val="52"/>
          <w:highlight w:val="none"/>
        </w:rPr>
      </w:pPr>
    </w:p>
    <w:p>
      <w:pPr>
        <w:autoSpaceDE w:val="0"/>
        <w:autoSpaceDN w:val="0"/>
        <w:adjustRightInd w:val="0"/>
        <w:jc w:val="center"/>
        <w:rPr>
          <w:rFonts w:ascii="方正小标宋_GBK" w:eastAsia="方正小标宋_GBK" w:cs="方正小标宋简体"/>
          <w:kern w:val="0"/>
          <w:sz w:val="48"/>
          <w:szCs w:val="48"/>
          <w:highlight w:val="none"/>
        </w:rPr>
      </w:pPr>
    </w:p>
    <w:p>
      <w:pPr>
        <w:autoSpaceDE w:val="0"/>
        <w:autoSpaceDN w:val="0"/>
        <w:adjustRightInd w:val="0"/>
        <w:jc w:val="center"/>
        <w:rPr>
          <w:rFonts w:ascii="黑体" w:eastAsia="黑体" w:cs="方正小标宋简体"/>
          <w:kern w:val="0"/>
          <w:sz w:val="48"/>
          <w:szCs w:val="48"/>
          <w:highlight w:val="none"/>
        </w:rPr>
      </w:pPr>
    </w:p>
    <w:p>
      <w:pPr>
        <w:autoSpaceDE w:val="0"/>
        <w:autoSpaceDN w:val="0"/>
        <w:adjustRightInd w:val="0"/>
        <w:jc w:val="center"/>
        <w:rPr>
          <w:rFonts w:ascii="黑体" w:eastAsia="黑体" w:cs="方正小标宋简体"/>
          <w:kern w:val="0"/>
          <w:sz w:val="48"/>
          <w:szCs w:val="48"/>
          <w:highlight w:val="none"/>
        </w:rPr>
      </w:pPr>
    </w:p>
    <w:p>
      <w:pPr>
        <w:autoSpaceDE w:val="0"/>
        <w:autoSpaceDN w:val="0"/>
        <w:adjustRightInd w:val="0"/>
        <w:jc w:val="center"/>
        <w:rPr>
          <w:rFonts w:ascii="方正小标宋_GBK" w:eastAsia="方正小标宋_GBK" w:cs="方正小标宋简体"/>
          <w:kern w:val="0"/>
          <w:sz w:val="48"/>
          <w:szCs w:val="48"/>
          <w:highlight w:val="none"/>
        </w:rPr>
      </w:pPr>
    </w:p>
    <w:p>
      <w:pPr>
        <w:autoSpaceDE w:val="0"/>
        <w:autoSpaceDN w:val="0"/>
        <w:adjustRightInd w:val="0"/>
        <w:jc w:val="center"/>
        <w:rPr>
          <w:rFonts w:ascii="方正小标宋_GBK" w:eastAsia="方正小标宋_GBK" w:cs="方正小标宋简体"/>
          <w:kern w:val="0"/>
          <w:sz w:val="48"/>
          <w:szCs w:val="48"/>
          <w:highlight w:val="none"/>
        </w:rPr>
      </w:pPr>
    </w:p>
    <w:p>
      <w:pPr>
        <w:autoSpaceDE w:val="0"/>
        <w:autoSpaceDN w:val="0"/>
        <w:adjustRightInd w:val="0"/>
        <w:jc w:val="left"/>
        <w:rPr>
          <w:rFonts w:ascii="方正小标宋简体" w:eastAsia="方正小标宋简体" w:cs="方正小标宋简体"/>
          <w:kern w:val="0"/>
          <w:sz w:val="48"/>
          <w:szCs w:val="48"/>
          <w:highlight w:val="none"/>
        </w:rPr>
      </w:pPr>
      <w:r>
        <w:rPr>
          <w:rFonts w:ascii="方正小标宋简体" w:eastAsia="方正小标宋简体" w:cs="方正小标宋简体"/>
          <w:kern w:val="0"/>
          <w:sz w:val="52"/>
          <w:szCs w:val="52"/>
          <w:highlight w:val="none"/>
        </w:rPr>
        <w:drawing>
          <wp:anchor distT="0" distB="0" distL="114300" distR="114300" simplePos="0" relativeHeight="251664384" behindDoc="0" locked="0" layoutInCell="1" allowOverlap="1">
            <wp:simplePos x="0" y="0"/>
            <wp:positionH relativeFrom="column">
              <wp:posOffset>-1171575</wp:posOffset>
            </wp:positionH>
            <wp:positionV relativeFrom="paragraph">
              <wp:posOffset>289560</wp:posOffset>
            </wp:positionV>
            <wp:extent cx="7632065" cy="3228340"/>
            <wp:effectExtent l="0" t="0" r="6985" b="1016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32065" cy="3228340"/>
                    </a:xfrm>
                    <a:prstGeom prst="rect">
                      <a:avLst/>
                    </a:prstGeom>
                  </pic:spPr>
                </pic:pic>
              </a:graphicData>
            </a:graphic>
          </wp:anchor>
        </w:drawing>
      </w:r>
    </w:p>
    <w:p>
      <w:pPr>
        <w:autoSpaceDE w:val="0"/>
        <w:autoSpaceDN w:val="0"/>
        <w:adjustRightInd w:val="0"/>
        <w:jc w:val="left"/>
        <w:rPr>
          <w:rFonts w:ascii="方正小标宋简体" w:eastAsia="方正小标宋简体" w:cs="方正小标宋简体"/>
          <w:kern w:val="0"/>
          <w:sz w:val="52"/>
          <w:szCs w:val="52"/>
          <w:highlight w:val="none"/>
        </w:rPr>
      </w:pPr>
    </w:p>
    <w:p>
      <w:pPr>
        <w:autoSpaceDE w:val="0"/>
        <w:autoSpaceDN w:val="0"/>
        <w:adjustRightInd w:val="0"/>
        <w:jc w:val="left"/>
        <w:rPr>
          <w:rFonts w:ascii="方正小标宋简体" w:eastAsia="方正小标宋简体" w:cs="方正小标宋简体"/>
          <w:kern w:val="0"/>
          <w:sz w:val="52"/>
          <w:szCs w:val="52"/>
          <w:highlight w:val="none"/>
        </w:rPr>
      </w:pPr>
    </w:p>
    <w:p>
      <w:pPr>
        <w:autoSpaceDE w:val="0"/>
        <w:autoSpaceDN w:val="0"/>
        <w:adjustRightInd w:val="0"/>
        <w:jc w:val="left"/>
        <w:rPr>
          <w:rFonts w:ascii="方正小标宋简体" w:eastAsia="方正小标宋简体" w:cs="方正小标宋简体"/>
          <w:kern w:val="0"/>
          <w:sz w:val="52"/>
          <w:szCs w:val="52"/>
          <w:highlight w:val="none"/>
        </w:rPr>
      </w:pPr>
    </w:p>
    <w:p>
      <w:pPr>
        <w:autoSpaceDE w:val="0"/>
        <w:autoSpaceDN w:val="0"/>
        <w:adjustRightInd w:val="0"/>
        <w:jc w:val="center"/>
        <w:rPr>
          <w:rFonts w:hint="eastAsia" w:ascii="方正小标宋_GBK" w:hAnsi="方正小标宋_GBK" w:eastAsia="方正小标宋_GBK" w:cs="方正小标宋_GBK"/>
          <w:b w:val="0"/>
          <w:bCs/>
          <w:kern w:val="0"/>
          <w:sz w:val="40"/>
          <w:szCs w:val="32"/>
          <w:highlight w:val="none"/>
        </w:rPr>
      </w:pPr>
      <w:r>
        <w:rPr>
          <w:rFonts w:hint="eastAsia" w:ascii="方正小标宋_GBK" w:hAnsi="方正小标宋_GBK" w:eastAsia="方正小标宋_GBK" w:cs="方正小标宋_GBK"/>
          <w:b w:val="0"/>
          <w:bCs/>
          <w:kern w:val="0"/>
          <w:sz w:val="40"/>
          <w:szCs w:val="32"/>
          <w:highlight w:val="none"/>
        </w:rPr>
        <w:t>目</w:t>
      </w:r>
      <w:r>
        <w:rPr>
          <w:rFonts w:hint="eastAsia" w:ascii="方正小标宋_GBK" w:hAnsi="方正小标宋_GBK" w:eastAsia="方正小标宋_GBK" w:cs="方正小标宋_GBK"/>
          <w:b w:val="0"/>
          <w:bCs/>
          <w:kern w:val="0"/>
          <w:sz w:val="40"/>
          <w:szCs w:val="32"/>
          <w:highlight w:val="none"/>
          <w:lang w:val="en-US" w:eastAsia="zh-CN"/>
        </w:rPr>
        <w:t xml:space="preserve">  </w:t>
      </w:r>
      <w:r>
        <w:rPr>
          <w:rFonts w:hint="eastAsia" w:ascii="方正小标宋_GBK" w:hAnsi="方正小标宋_GBK" w:eastAsia="方正小标宋_GBK" w:cs="方正小标宋_GBK"/>
          <w:b w:val="0"/>
          <w:bCs/>
          <w:kern w:val="0"/>
          <w:sz w:val="40"/>
          <w:szCs w:val="32"/>
          <w:highlight w:val="none"/>
        </w:rPr>
        <w:t>录</w:t>
      </w:r>
    </w:p>
    <w:p>
      <w:pPr>
        <w:pStyle w:val="4"/>
        <w:rPr>
          <w:highlight w:val="none"/>
        </w:rPr>
      </w:pPr>
    </w:p>
    <w:p>
      <w:pPr>
        <w:autoSpaceDE w:val="0"/>
        <w:autoSpaceDN w:val="0"/>
        <w:adjustRightInd w:val="0"/>
        <w:jc w:val="center"/>
        <w:rPr>
          <w:rFonts w:ascii="宋体" w:hAnsi="宋体" w:cs="方正小标宋简体"/>
          <w:b/>
          <w:kern w:val="0"/>
          <w:sz w:val="40"/>
          <w:szCs w:val="32"/>
          <w:highlight w:val="none"/>
        </w:rPr>
      </w:pP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重要提示</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第一节  </w:t>
      </w:r>
      <w:r>
        <w:rPr>
          <w:rFonts w:hint="eastAsia" w:ascii="仿宋_GB2312" w:hAnsi="仿宋_GB2312" w:eastAsia="仿宋_GB2312" w:cs="仿宋_GB2312"/>
          <w:kern w:val="0"/>
          <w:sz w:val="32"/>
          <w:szCs w:val="32"/>
          <w:highlight w:val="none"/>
          <w:lang w:val="en-US" w:eastAsia="zh-CN"/>
        </w:rPr>
        <w:t xml:space="preserve"> </w:t>
      </w:r>
      <w:r>
        <w:rPr>
          <w:rFonts w:hint="eastAsia" w:ascii="仿宋_GB2312" w:hAnsi="仿宋_GB2312" w:eastAsia="仿宋_GB2312" w:cs="仿宋_GB2312"/>
          <w:kern w:val="0"/>
          <w:sz w:val="32"/>
          <w:szCs w:val="32"/>
          <w:highlight w:val="none"/>
        </w:rPr>
        <w:t>基本情况简介</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第二节   会计数据和业务数据摘要</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第三节   股本结构及股东情况</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第四节   董事</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w:t>
      </w:r>
      <w:r>
        <w:rPr>
          <w:rFonts w:hint="eastAsia" w:ascii="仿宋_GB2312" w:hAnsi="仿宋_GB2312" w:eastAsia="仿宋_GB2312" w:cs="仿宋_GB2312"/>
          <w:kern w:val="0"/>
          <w:sz w:val="32"/>
          <w:szCs w:val="32"/>
          <w:highlight w:val="none"/>
        </w:rPr>
        <w:t>高级管理人员</w:t>
      </w:r>
      <w:r>
        <w:rPr>
          <w:rFonts w:hint="eastAsia" w:ascii="仿宋_GB2312" w:hAnsi="仿宋_GB2312" w:eastAsia="仿宋_GB2312" w:cs="仿宋_GB2312"/>
          <w:kern w:val="0"/>
          <w:sz w:val="32"/>
          <w:szCs w:val="32"/>
          <w:highlight w:val="none"/>
          <w:lang w:val="en-US" w:eastAsia="zh-CN"/>
        </w:rPr>
        <w:t>及</w:t>
      </w:r>
      <w:r>
        <w:rPr>
          <w:rFonts w:hint="eastAsia" w:ascii="仿宋_GB2312" w:hAnsi="仿宋_GB2312" w:eastAsia="仿宋_GB2312" w:cs="仿宋_GB2312"/>
          <w:kern w:val="0"/>
          <w:sz w:val="32"/>
          <w:szCs w:val="32"/>
          <w:highlight w:val="none"/>
        </w:rPr>
        <w:t>员工情况</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第五节   公司治理情况</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第六节   股东会情况简介</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w:t>
      </w:r>
      <w:r>
        <w:rPr>
          <w:rFonts w:hint="eastAsia" w:ascii="仿宋_GB2312" w:hAnsi="仿宋_GB2312" w:eastAsia="仿宋_GB2312" w:cs="仿宋_GB2312"/>
          <w:kern w:val="0"/>
          <w:sz w:val="32"/>
          <w:szCs w:val="32"/>
          <w:highlight w:val="none"/>
          <w:lang w:val="en-US" w:eastAsia="zh-CN"/>
        </w:rPr>
        <w:t>七</w:t>
      </w:r>
      <w:r>
        <w:rPr>
          <w:rFonts w:hint="eastAsia" w:ascii="仿宋_GB2312" w:hAnsi="仿宋_GB2312" w:eastAsia="仿宋_GB2312" w:cs="仿宋_GB2312"/>
          <w:kern w:val="0"/>
          <w:sz w:val="32"/>
          <w:szCs w:val="32"/>
          <w:highlight w:val="none"/>
        </w:rPr>
        <w:t>节   年度薪酬报告</w:t>
      </w:r>
    </w:p>
    <w:p>
      <w:pPr>
        <w:pStyle w:val="4"/>
        <w:spacing w:line="360" w:lineRule="auto"/>
        <w:ind w:left="0" w:leftChars="0" w:firstLine="0" w:firstLineChars="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第八节</w:t>
      </w:r>
      <w:r>
        <w:rPr>
          <w:rFonts w:hint="eastAsia" w:ascii="仿宋_GB2312" w:hAnsi="仿宋_GB2312" w:eastAsia="仿宋_GB2312" w:cs="仿宋_GB2312"/>
          <w:kern w:val="0"/>
          <w:sz w:val="32"/>
          <w:szCs w:val="32"/>
          <w:highlight w:val="none"/>
        </w:rPr>
        <w:t xml:space="preserve">   </w:t>
      </w:r>
      <w:r>
        <w:rPr>
          <w:rFonts w:hint="eastAsia" w:ascii="仿宋_GB2312" w:hAnsi="仿宋_GB2312" w:eastAsia="仿宋_GB2312" w:cs="仿宋_GB2312"/>
          <w:sz w:val="32"/>
          <w:szCs w:val="32"/>
          <w:highlight w:val="none"/>
          <w:lang w:val="en-US" w:eastAsia="zh-CN"/>
        </w:rPr>
        <w:t>消费者权益工作情况</w:t>
      </w:r>
    </w:p>
    <w:p>
      <w:pPr>
        <w:pStyle w:val="4"/>
        <w:spacing w:line="360" w:lineRule="auto"/>
        <w:ind w:left="0" w:leftChars="0" w:firstLine="0" w:firstLineChars="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第九节</w:t>
      </w:r>
      <w:r>
        <w:rPr>
          <w:rFonts w:hint="eastAsia" w:ascii="仿宋_GB2312" w:hAnsi="仿宋_GB2312" w:eastAsia="仿宋_GB2312" w:cs="仿宋_GB2312"/>
          <w:kern w:val="0"/>
          <w:sz w:val="32"/>
          <w:szCs w:val="32"/>
          <w:highlight w:val="none"/>
        </w:rPr>
        <w:t xml:space="preserve">   </w:t>
      </w:r>
      <w:r>
        <w:rPr>
          <w:rFonts w:hint="eastAsia" w:ascii="仿宋_GB2312" w:hAnsi="仿宋_GB2312" w:eastAsia="仿宋_GB2312" w:cs="仿宋_GB2312"/>
          <w:sz w:val="32"/>
          <w:szCs w:val="32"/>
          <w:highlight w:val="none"/>
          <w:lang w:val="en-US" w:eastAsia="zh-CN"/>
        </w:rPr>
        <w:t>金融服务情况</w:t>
      </w:r>
    </w:p>
    <w:p>
      <w:pPr>
        <w:pStyle w:val="4"/>
        <w:spacing w:line="360" w:lineRule="auto"/>
        <w:ind w:left="0" w:leftChars="0" w:firstLine="0" w:firstLineChars="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第十节</w:t>
      </w:r>
      <w:r>
        <w:rPr>
          <w:rFonts w:hint="eastAsia" w:ascii="仿宋_GB2312" w:hAnsi="仿宋_GB2312" w:eastAsia="仿宋_GB2312" w:cs="仿宋_GB2312"/>
          <w:kern w:val="0"/>
          <w:sz w:val="32"/>
          <w:szCs w:val="32"/>
          <w:highlight w:val="none"/>
        </w:rPr>
        <w:t xml:space="preserve">   </w:t>
      </w:r>
      <w:r>
        <w:rPr>
          <w:rFonts w:hint="eastAsia" w:ascii="仿宋_GB2312" w:hAnsi="仿宋_GB2312" w:eastAsia="仿宋_GB2312" w:cs="仿宋_GB2312"/>
          <w:sz w:val="32"/>
          <w:szCs w:val="32"/>
          <w:highlight w:val="none"/>
          <w:lang w:val="en-US" w:eastAsia="zh-CN"/>
        </w:rPr>
        <w:t>风险管理情况</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val="en-US" w:eastAsia="zh-CN"/>
        </w:rPr>
        <w:t>第十一节</w:t>
      </w:r>
      <w:r>
        <w:rPr>
          <w:rFonts w:hint="eastAsia" w:ascii="仿宋_GB2312" w:hAnsi="仿宋_GB2312" w:eastAsia="仿宋_GB2312" w:cs="仿宋_GB2312"/>
          <w:kern w:val="0"/>
          <w:sz w:val="32"/>
          <w:szCs w:val="32"/>
          <w:highlight w:val="none"/>
        </w:rPr>
        <w:t xml:space="preserve">   履行社会责任</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w:t>
      </w:r>
      <w:r>
        <w:rPr>
          <w:rFonts w:hint="eastAsia" w:ascii="仿宋_GB2312" w:hAnsi="仿宋_GB2312" w:eastAsia="仿宋_GB2312" w:cs="仿宋_GB2312"/>
          <w:kern w:val="0"/>
          <w:sz w:val="32"/>
          <w:szCs w:val="32"/>
          <w:highlight w:val="none"/>
          <w:lang w:val="en-US" w:eastAsia="zh-CN"/>
        </w:rPr>
        <w:t>十二</w:t>
      </w:r>
      <w:r>
        <w:rPr>
          <w:rFonts w:hint="eastAsia" w:ascii="仿宋_GB2312" w:hAnsi="仿宋_GB2312" w:eastAsia="仿宋_GB2312" w:cs="仿宋_GB2312"/>
          <w:kern w:val="0"/>
          <w:sz w:val="32"/>
          <w:szCs w:val="32"/>
          <w:highlight w:val="none"/>
        </w:rPr>
        <w:t>节   重要事项</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w:t>
      </w:r>
      <w:r>
        <w:rPr>
          <w:rFonts w:hint="eastAsia" w:ascii="仿宋_GB2312" w:hAnsi="仿宋_GB2312" w:eastAsia="仿宋_GB2312" w:cs="仿宋_GB2312"/>
          <w:kern w:val="0"/>
          <w:sz w:val="32"/>
          <w:szCs w:val="32"/>
          <w:highlight w:val="none"/>
          <w:lang w:val="en-US" w:eastAsia="zh-CN"/>
        </w:rPr>
        <w:t>十三</w:t>
      </w:r>
      <w:r>
        <w:rPr>
          <w:rFonts w:hint="eastAsia" w:ascii="仿宋_GB2312" w:hAnsi="仿宋_GB2312" w:eastAsia="仿宋_GB2312" w:cs="仿宋_GB2312"/>
          <w:kern w:val="0"/>
          <w:sz w:val="32"/>
          <w:szCs w:val="32"/>
          <w:highlight w:val="none"/>
        </w:rPr>
        <w:t>节   年度大事记</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第十</w:t>
      </w:r>
      <w:r>
        <w:rPr>
          <w:rFonts w:hint="eastAsia" w:ascii="仿宋_GB2312" w:hAnsi="仿宋_GB2312" w:eastAsia="仿宋_GB2312" w:cs="仿宋_GB2312"/>
          <w:kern w:val="0"/>
          <w:sz w:val="32"/>
          <w:szCs w:val="32"/>
          <w:highlight w:val="none"/>
          <w:lang w:val="en-US" w:eastAsia="zh-CN"/>
        </w:rPr>
        <w:t>四</w:t>
      </w:r>
      <w:r>
        <w:rPr>
          <w:rFonts w:hint="eastAsia" w:ascii="仿宋_GB2312" w:hAnsi="仿宋_GB2312" w:eastAsia="仿宋_GB2312" w:cs="仿宋_GB2312"/>
          <w:kern w:val="0"/>
          <w:sz w:val="32"/>
          <w:szCs w:val="32"/>
          <w:highlight w:val="none"/>
        </w:rPr>
        <w:t>节   备查文件</w:t>
      </w:r>
    </w:p>
    <w:p>
      <w:pPr>
        <w:autoSpaceDE w:val="0"/>
        <w:autoSpaceDN w:val="0"/>
        <w:adjustRightInd w:val="0"/>
        <w:spacing w:line="360" w:lineRule="auto"/>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lang w:val="en-US" w:eastAsia="zh-CN"/>
        </w:rPr>
        <w:t>第十五节</w:t>
      </w:r>
      <w:r>
        <w:rPr>
          <w:rFonts w:hint="eastAsia" w:ascii="仿宋_GB2312" w:hAnsi="仿宋_GB2312" w:eastAsia="仿宋_GB2312" w:cs="仿宋_GB2312"/>
          <w:kern w:val="0"/>
          <w:sz w:val="32"/>
          <w:szCs w:val="32"/>
          <w:highlight w:val="none"/>
        </w:rPr>
        <w:t xml:space="preserve">   </w:t>
      </w:r>
      <w:r>
        <w:rPr>
          <w:rFonts w:hint="eastAsia" w:ascii="仿宋_GB2312" w:hAnsi="仿宋_GB2312" w:eastAsia="仿宋_GB2312" w:cs="仿宋_GB2312"/>
          <w:kern w:val="0"/>
          <w:sz w:val="32"/>
          <w:szCs w:val="32"/>
          <w:highlight w:val="none"/>
          <w:lang w:val="en-US" w:eastAsia="zh-CN"/>
        </w:rPr>
        <w:t>审计报告</w:t>
      </w:r>
    </w:p>
    <w:p>
      <w:pPr>
        <w:rPr>
          <w:rFonts w:ascii="方正小标宋简体" w:eastAsia="方正小标宋简体" w:cs="方正小标宋简体"/>
          <w:kern w:val="0"/>
          <w:sz w:val="40"/>
          <w:szCs w:val="40"/>
          <w:highlight w:val="none"/>
        </w:rPr>
      </w:pPr>
      <w:r>
        <w:rPr>
          <w:rFonts w:ascii="方正小标宋简体" w:eastAsia="方正小标宋简体" w:cs="方正小标宋简体"/>
          <w:kern w:val="0"/>
          <w:sz w:val="40"/>
          <w:szCs w:val="40"/>
          <w:highlight w:val="none"/>
        </w:rPr>
        <w:br w:type="page"/>
      </w:r>
    </w:p>
    <w:p>
      <w:pPr>
        <w:pStyle w:val="4"/>
        <w:ind w:left="0" w:leftChars="0" w:firstLine="0" w:firstLineChars="0"/>
        <w:rPr>
          <w:rFonts w:ascii="方正小标宋简体" w:eastAsia="方正小标宋简体" w:cs="方正小标宋简体"/>
          <w:kern w:val="0"/>
          <w:sz w:val="40"/>
          <w:szCs w:val="40"/>
          <w:highlight w:val="none"/>
        </w:rPr>
      </w:pPr>
    </w:p>
    <w:p>
      <w:pPr>
        <w:autoSpaceDE w:val="0"/>
        <w:autoSpaceDN w:val="0"/>
        <w:adjustRightInd w:val="0"/>
        <w:spacing w:line="360" w:lineRule="auto"/>
        <w:jc w:val="center"/>
        <w:rPr>
          <w:rFonts w:ascii="创艺简标宋" w:hAnsi="宋体" w:eastAsia="创艺简标宋" w:cs="方正小标宋简体"/>
          <w:kern w:val="0"/>
          <w:sz w:val="44"/>
          <w:szCs w:val="44"/>
          <w:highlight w:val="none"/>
        </w:rPr>
      </w:pPr>
      <w:r>
        <w:rPr>
          <w:rFonts w:ascii="创艺简标宋" w:hAnsi="宋体" w:eastAsia="创艺简标宋" w:cs="方正小标宋简体"/>
          <w:kern w:val="0"/>
          <w:sz w:val="44"/>
          <w:szCs w:val="44"/>
          <w:highlight w:val="none"/>
        </w:rPr>
        <mc:AlternateContent>
          <mc:Choice Requires="wps">
            <w:drawing>
              <wp:anchor distT="0" distB="0" distL="114300" distR="114300" simplePos="0" relativeHeight="251668480" behindDoc="0" locked="0" layoutInCell="1" allowOverlap="1">
                <wp:simplePos x="0" y="0"/>
                <wp:positionH relativeFrom="column">
                  <wp:posOffset>1847850</wp:posOffset>
                </wp:positionH>
                <wp:positionV relativeFrom="paragraph">
                  <wp:posOffset>68580</wp:posOffset>
                </wp:positionV>
                <wp:extent cx="95250" cy="104775"/>
                <wp:effectExtent l="12700" t="0" r="25400" b="15240"/>
                <wp:wrapNone/>
                <wp:docPr id="18" name="十字星 6"/>
                <wp:cNvGraphicFramePr/>
                <a:graphic xmlns:a="http://schemas.openxmlformats.org/drawingml/2006/main">
                  <a:graphicData uri="http://schemas.microsoft.com/office/word/2010/wordprocessingShape">
                    <wps:wsp>
                      <wps:cNvSpPr/>
                      <wps:spPr>
                        <a:xfrm>
                          <a:off x="0" y="0"/>
                          <a:ext cx="95250" cy="104775"/>
                        </a:xfrm>
                        <a:prstGeom prst="star4">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十字星 6" o:spid="_x0000_s1026" o:spt="187" type="#_x0000_t187" style="position:absolute;left:0pt;margin-left:145.5pt;margin-top:5.4pt;height:8.25pt;width:7.5pt;z-index:251668480;v-text-anchor:middle;mso-width-relative:page;mso-height-relative:page;" fillcolor="#000000" filled="t" stroked="t" coordsize="21600,21600" o:gfxdata="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nIiS7YAAAACQEAAA8AAAAAAAAAAQAgAAAAIgAAAGRy&#10;cy9kb3ducmV2LnhtbFBLAQIUABQAAAAIAIdO4kCefW3zdwIAAA8FAAAOAAAAAAAAAAEAIAAAACcB&#10;AABkcnMvZTJvRG9jLnhtbFBLBQYAAAAABgAGAFkBAAAQBgAAAAA=&#10;" adj="8100">
                <v:fill on="t" focussize="0,0"/>
                <v:stroke weight="2pt" color="#000000" joinstyle="round"/>
                <v:imagedata o:title=""/>
                <o:lock v:ext="edit" aspectratio="f"/>
              </v:shape>
            </w:pict>
          </mc:Fallback>
        </mc:AlternateContent>
      </w:r>
      <w:r>
        <w:rPr>
          <w:rFonts w:ascii="创艺简标宋" w:hAnsi="宋体" w:eastAsia="创艺简标宋" w:cs="方正小标宋简体"/>
          <w:kern w:val="0"/>
          <w:sz w:val="44"/>
          <w:szCs w:val="44"/>
          <w:highlight w:val="none"/>
        </w:rPr>
        <mc:AlternateContent>
          <mc:Choice Requires="wps">
            <w:drawing>
              <wp:anchor distT="0" distB="0" distL="114300" distR="114300" simplePos="0" relativeHeight="251669504" behindDoc="0" locked="0" layoutInCell="1" allowOverlap="1">
                <wp:simplePos x="0" y="0"/>
                <wp:positionH relativeFrom="column">
                  <wp:posOffset>3314700</wp:posOffset>
                </wp:positionH>
                <wp:positionV relativeFrom="paragraph">
                  <wp:posOffset>68580</wp:posOffset>
                </wp:positionV>
                <wp:extent cx="95250" cy="104775"/>
                <wp:effectExtent l="12700" t="0" r="25400" b="15240"/>
                <wp:wrapNone/>
                <wp:docPr id="19" name="十字星 7"/>
                <wp:cNvGraphicFramePr/>
                <a:graphic xmlns:a="http://schemas.openxmlformats.org/drawingml/2006/main">
                  <a:graphicData uri="http://schemas.microsoft.com/office/word/2010/wordprocessingShape">
                    <wps:wsp>
                      <wps:cNvSpPr/>
                      <wps:spPr>
                        <a:xfrm>
                          <a:off x="0" y="0"/>
                          <a:ext cx="95250" cy="104775"/>
                        </a:xfrm>
                        <a:prstGeom prst="star4">
                          <a:avLst/>
                        </a:prstGeom>
                        <a:solidFill>
                          <a:srgbClr val="000000"/>
                        </a:solidFill>
                        <a:ln w="25400" cap="flat" cmpd="sng" algn="ctr">
                          <a:solidFill>
                            <a:srgbClr val="0000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十字星 7" o:spid="_x0000_s1026" o:spt="187" type="#_x0000_t187" style="position:absolute;left:0pt;margin-left:261pt;margin-top:5.4pt;height:8.25pt;width:7.5pt;z-index:251669504;v-text-anchor:middle;mso-width-relative:page;mso-height-relative:page;" fillcolor="#000000" filled="t" stroked="t" coordsize="21600,21600" o:gfxdata="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&#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ggVzHYAAAACQEAAA8AAAAAAAAAAQAgAAAAIgAAAGRy&#10;cy9kb3ducmV2LnhtbFBLAQIUABQAAAAIAIdO4kBXzrCSdwIAAA8FAAAOAAAAAAAAAAEAIAAAACcB&#10;AABkcnMvZTJvRG9jLnhtbFBLBQYAAAAABgAGAFkBAAAQBgAAAAA=&#10;" adj="8100">
                <v:fill on="t" focussize="0,0"/>
                <v:stroke weight="2pt" color="#000000" joinstyle="round"/>
                <v:imagedata o:title=""/>
                <o:lock v:ext="edit" aspectratio="f"/>
              </v:shape>
            </w:pict>
          </mc:Fallback>
        </mc:AlternateContent>
      </w:r>
      <w:r>
        <w:rPr>
          <w:rFonts w:hint="eastAsia" w:ascii="创艺简标宋" w:hAnsi="宋体" w:eastAsia="创艺简标宋" w:cs="方正小标宋简体"/>
          <w:kern w:val="0"/>
          <w:sz w:val="44"/>
          <w:szCs w:val="44"/>
          <w:highlight w:val="none"/>
        </w:rPr>
        <w:t>重要提示</w:t>
      </w:r>
    </w:p>
    <w:p>
      <w:pPr>
        <w:autoSpaceDE w:val="0"/>
        <w:autoSpaceDN w:val="0"/>
        <w:adjustRightInd w:val="0"/>
        <w:spacing w:line="360" w:lineRule="auto"/>
        <w:ind w:firstLine="880" w:firstLineChars="200"/>
        <w:jc w:val="center"/>
        <w:rPr>
          <w:rFonts w:ascii="方正小标宋简体" w:eastAsia="方正小标宋简体" w:cs="方正小标宋简体"/>
          <w:kern w:val="0"/>
          <w:sz w:val="44"/>
          <w:szCs w:val="44"/>
          <w:highlight w:val="none"/>
        </w:rPr>
      </w:pP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本行董事会</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监事会</w:t>
      </w:r>
      <w:r>
        <w:rPr>
          <w:rFonts w:hint="eastAsia" w:ascii="仿宋_GB2312" w:hAnsi="仿宋_GB2312" w:eastAsia="仿宋_GB2312" w:cs="仿宋_GB2312"/>
          <w:kern w:val="0"/>
          <w:sz w:val="32"/>
          <w:szCs w:val="32"/>
          <w:highlight w:val="none"/>
        </w:rPr>
        <w:t>及董事</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w:t>
      </w:r>
      <w:r>
        <w:rPr>
          <w:rFonts w:hint="eastAsia" w:ascii="仿宋_GB2312" w:hAnsi="仿宋_GB2312" w:eastAsia="仿宋_GB2312" w:cs="仿宋_GB2312"/>
          <w:kern w:val="0"/>
          <w:sz w:val="32"/>
          <w:szCs w:val="32"/>
          <w:highlight w:val="none"/>
        </w:rPr>
        <w:t>高级管理人员保证本报告所载资料不存在任何虚假记载、误导性陈述或者重大遗漏，并对其内容的真实性、准确性和完整性承担个别及连带责任。</w:t>
      </w:r>
    </w:p>
    <w:p>
      <w:pPr>
        <w:autoSpaceDE w:val="0"/>
        <w:autoSpaceDN w:val="0"/>
        <w:adjustRightInd w:val="0"/>
        <w:spacing w:line="360" w:lineRule="auto"/>
        <w:ind w:firstLine="640" w:firstLineChars="200"/>
        <w:jc w:val="left"/>
        <w:rPr>
          <w:rFonts w:hint="eastAsia" w:ascii="仿宋_GB2312" w:hAnsi="仿宋_GB2312" w:eastAsia="仿宋_GB2312" w:cs="仿宋_GB2312"/>
          <w:b w:val="0"/>
          <w:bCs w:val="0"/>
          <w:color w:val="auto"/>
          <w:kern w:val="0"/>
          <w:sz w:val="32"/>
          <w:szCs w:val="32"/>
          <w:highlight w:val="none"/>
        </w:rPr>
      </w:pPr>
      <w:r>
        <w:rPr>
          <w:rFonts w:hint="eastAsia" w:ascii="仿宋_GB2312" w:hAnsi="仿宋_GB2312" w:eastAsia="仿宋_GB2312" w:cs="仿宋_GB2312"/>
          <w:kern w:val="0"/>
          <w:sz w:val="32"/>
          <w:szCs w:val="32"/>
          <w:highlight w:val="none"/>
        </w:rPr>
        <w:t>本年度报告（正文及摘要</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b w:val="0"/>
          <w:bCs w:val="0"/>
          <w:color w:val="auto"/>
          <w:kern w:val="0"/>
          <w:sz w:val="32"/>
          <w:szCs w:val="32"/>
          <w:highlight w:val="none"/>
        </w:rPr>
        <w:t>经本行第</w:t>
      </w:r>
      <w:r>
        <w:rPr>
          <w:rFonts w:hint="eastAsia" w:ascii="仿宋_GB2312" w:hAnsi="仿宋_GB2312" w:eastAsia="仿宋_GB2312" w:cs="仿宋_GB2312"/>
          <w:b w:val="0"/>
          <w:bCs w:val="0"/>
          <w:color w:val="auto"/>
          <w:kern w:val="0"/>
          <w:sz w:val="32"/>
          <w:szCs w:val="32"/>
          <w:highlight w:val="none"/>
          <w:lang w:val="en-US" w:eastAsia="zh-CN"/>
        </w:rPr>
        <w:t>二</w:t>
      </w:r>
      <w:r>
        <w:rPr>
          <w:rFonts w:hint="eastAsia" w:ascii="仿宋_GB2312" w:hAnsi="仿宋_GB2312" w:eastAsia="仿宋_GB2312" w:cs="仿宋_GB2312"/>
          <w:b w:val="0"/>
          <w:bCs w:val="0"/>
          <w:color w:val="auto"/>
          <w:kern w:val="0"/>
          <w:sz w:val="32"/>
          <w:szCs w:val="32"/>
          <w:highlight w:val="none"/>
        </w:rPr>
        <w:t>届董事会第</w:t>
      </w:r>
      <w:r>
        <w:rPr>
          <w:rFonts w:hint="eastAsia" w:ascii="仿宋_GB2312" w:hAnsi="仿宋_GB2312" w:eastAsia="仿宋_GB2312" w:cs="仿宋_GB2312"/>
          <w:b w:val="0"/>
          <w:bCs w:val="0"/>
          <w:color w:val="auto"/>
          <w:kern w:val="0"/>
          <w:sz w:val="32"/>
          <w:szCs w:val="32"/>
          <w:highlight w:val="none"/>
          <w:lang w:val="en-US" w:eastAsia="zh-CN"/>
        </w:rPr>
        <w:t>三十一</w:t>
      </w:r>
      <w:r>
        <w:rPr>
          <w:rFonts w:hint="eastAsia" w:ascii="仿宋_GB2312" w:hAnsi="仿宋_GB2312" w:eastAsia="仿宋_GB2312" w:cs="仿宋_GB2312"/>
          <w:b w:val="0"/>
          <w:bCs w:val="0"/>
          <w:color w:val="auto"/>
          <w:kern w:val="0"/>
          <w:sz w:val="32"/>
          <w:szCs w:val="32"/>
          <w:highlight w:val="none"/>
        </w:rPr>
        <w:t>次会议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临时会议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rPr>
        <w:t>及</w:t>
      </w:r>
      <w:r>
        <w:rPr>
          <w:rFonts w:hint="eastAsia" w:ascii="仿宋_GB2312" w:hAnsi="仿宋_GB2312" w:eastAsia="仿宋_GB2312" w:cs="仿宋_GB2312"/>
          <w:b w:val="0"/>
          <w:bCs w:val="0"/>
          <w:color w:val="auto"/>
          <w:kern w:val="0"/>
          <w:sz w:val="32"/>
          <w:szCs w:val="32"/>
          <w:highlight w:val="none"/>
          <w:lang w:val="en-US" w:eastAsia="zh-CN"/>
        </w:rPr>
        <w:t>2025年度</w:t>
      </w:r>
      <w:r>
        <w:rPr>
          <w:rFonts w:hint="eastAsia" w:ascii="仿宋_GB2312" w:hAnsi="仿宋_GB2312" w:eastAsia="仿宋_GB2312" w:cs="仿宋_GB2312"/>
          <w:b w:val="0"/>
          <w:bCs w:val="0"/>
          <w:color w:val="auto"/>
          <w:kern w:val="0"/>
          <w:sz w:val="32"/>
          <w:szCs w:val="32"/>
          <w:highlight w:val="none"/>
          <w:lang w:eastAsia="zh-CN"/>
        </w:rPr>
        <w:t>股东会</w:t>
      </w:r>
      <w:r>
        <w:rPr>
          <w:rFonts w:hint="eastAsia" w:ascii="仿宋_GB2312" w:hAnsi="仿宋_GB2312" w:eastAsia="仿宋_GB2312" w:cs="仿宋_GB2312"/>
          <w:b w:val="0"/>
          <w:bCs w:val="0"/>
          <w:color w:val="auto"/>
          <w:kern w:val="0"/>
          <w:sz w:val="32"/>
          <w:szCs w:val="32"/>
          <w:highlight w:val="none"/>
        </w:rPr>
        <w:t>审议通过。</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本行年度财务报告已经由</w:t>
      </w:r>
      <w:r>
        <w:rPr>
          <w:rFonts w:hint="eastAsia" w:ascii="仿宋_GB2312" w:hAnsi="仿宋_GB2312" w:eastAsia="仿宋_GB2312" w:cs="仿宋_GB2312"/>
          <w:color w:val="auto"/>
          <w:kern w:val="0"/>
          <w:sz w:val="32"/>
          <w:szCs w:val="32"/>
          <w:highlight w:val="none"/>
          <w:lang w:val="en-US" w:eastAsia="zh-CN"/>
        </w:rPr>
        <w:t>安礼华粤（广东）会计师事务所（特殊普通合伙）</w:t>
      </w:r>
      <w:r>
        <w:rPr>
          <w:rFonts w:hint="eastAsia" w:ascii="仿宋_GB2312" w:hAnsi="仿宋_GB2312" w:eastAsia="仿宋_GB2312" w:cs="仿宋_GB2312"/>
          <w:color w:val="auto"/>
          <w:kern w:val="0"/>
          <w:sz w:val="32"/>
          <w:szCs w:val="32"/>
          <w:highlight w:val="none"/>
        </w:rPr>
        <w:t>审计并出具标准无保留意见的审计报告。</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本行、本银行均指广东广宁农村商业银行股份有限公司。</w:t>
      </w:r>
    </w:p>
    <w:p>
      <w:pPr>
        <w:autoSpaceDE w:val="0"/>
        <w:autoSpaceDN w:val="0"/>
        <w:adjustRightInd w:val="0"/>
        <w:spacing w:line="360" w:lineRule="auto"/>
        <w:jc w:val="left"/>
        <w:rPr>
          <w:rFonts w:hint="eastAsia" w:ascii="仿宋_GB2312" w:hAnsi="仿宋_GB2312" w:eastAsia="仿宋_GB2312" w:cs="仿宋_GB2312"/>
          <w:color w:val="auto"/>
          <w:kern w:val="0"/>
          <w:sz w:val="32"/>
          <w:szCs w:val="32"/>
          <w:highlight w:val="none"/>
        </w:rPr>
      </w:pPr>
    </w:p>
    <w:p>
      <w:pPr>
        <w:autoSpaceDE w:val="0"/>
        <w:autoSpaceDN w:val="0"/>
        <w:adjustRightInd w:val="0"/>
        <w:spacing w:line="360" w:lineRule="auto"/>
        <w:jc w:val="righ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广东广宁农村商业银行股份有限公司董事会</w:t>
      </w:r>
    </w:p>
    <w:p>
      <w:pPr>
        <w:autoSpaceDE w:val="0"/>
        <w:autoSpaceDN w:val="0"/>
        <w:adjustRightInd w:val="0"/>
        <w:spacing w:line="360" w:lineRule="auto"/>
        <w:ind w:right="600" w:firstLine="4160" w:firstLineChars="1300"/>
        <w:rPr>
          <w:rFonts w:hint="eastAsia" w:ascii="仿宋_GB2312" w:hAnsi="仿宋_GB2312" w:eastAsia="仿宋_GB2312" w:cs="仿宋_GB2312"/>
          <w:b w:val="0"/>
          <w:bCs w:val="0"/>
          <w:color w:val="auto"/>
          <w:kern w:val="0"/>
          <w:sz w:val="32"/>
          <w:szCs w:val="32"/>
          <w:highlight w:val="none"/>
        </w:rPr>
      </w:pPr>
      <w:r>
        <w:rPr>
          <w:rFonts w:hint="eastAsia" w:ascii="仿宋_GB2312" w:hAnsi="仿宋_GB2312" w:eastAsia="仿宋_GB2312" w:cs="仿宋_GB2312"/>
          <w:b w:val="0"/>
          <w:bCs w:val="0"/>
          <w:color w:val="auto"/>
          <w:kern w:val="0"/>
          <w:sz w:val="32"/>
          <w:szCs w:val="32"/>
          <w:highlight w:val="none"/>
        </w:rPr>
        <w:t>二〇二</w:t>
      </w:r>
      <w:r>
        <w:rPr>
          <w:rFonts w:hint="eastAsia" w:ascii="仿宋_GB2312" w:hAnsi="仿宋_GB2312" w:eastAsia="仿宋_GB2312" w:cs="仿宋_GB2312"/>
          <w:b w:val="0"/>
          <w:bCs w:val="0"/>
          <w:color w:val="auto"/>
          <w:kern w:val="0"/>
          <w:sz w:val="32"/>
          <w:szCs w:val="32"/>
          <w:highlight w:val="none"/>
          <w:lang w:val="en-US" w:eastAsia="zh-CN"/>
        </w:rPr>
        <w:t>六</w:t>
      </w:r>
      <w:r>
        <w:rPr>
          <w:rFonts w:hint="eastAsia" w:ascii="仿宋_GB2312" w:hAnsi="仿宋_GB2312" w:eastAsia="仿宋_GB2312" w:cs="仿宋_GB2312"/>
          <w:b w:val="0"/>
          <w:bCs w:val="0"/>
          <w:color w:val="auto"/>
          <w:kern w:val="0"/>
          <w:sz w:val="32"/>
          <w:szCs w:val="32"/>
          <w:highlight w:val="none"/>
        </w:rPr>
        <w:t>年</w:t>
      </w:r>
      <w:r>
        <w:rPr>
          <w:rFonts w:hint="eastAsia" w:ascii="仿宋_GB2312" w:hAnsi="仿宋_GB2312" w:eastAsia="仿宋_GB2312" w:cs="仿宋_GB2312"/>
          <w:b w:val="0"/>
          <w:bCs w:val="0"/>
          <w:color w:val="auto"/>
          <w:kern w:val="0"/>
          <w:sz w:val="32"/>
          <w:szCs w:val="32"/>
          <w:highlight w:val="none"/>
          <w:lang w:val="en-US" w:eastAsia="zh-CN"/>
        </w:rPr>
        <w:t>四</w:t>
      </w:r>
      <w:r>
        <w:rPr>
          <w:rFonts w:hint="eastAsia" w:ascii="仿宋_GB2312" w:hAnsi="仿宋_GB2312" w:eastAsia="仿宋_GB2312" w:cs="仿宋_GB2312"/>
          <w:b w:val="0"/>
          <w:bCs w:val="0"/>
          <w:color w:val="auto"/>
          <w:kern w:val="0"/>
          <w:sz w:val="32"/>
          <w:szCs w:val="32"/>
          <w:highlight w:val="none"/>
        </w:rPr>
        <w:t>月</w:t>
      </w:r>
      <w:r>
        <w:rPr>
          <w:rFonts w:hint="eastAsia" w:ascii="仿宋_GB2312" w:hAnsi="仿宋_GB2312" w:eastAsia="仿宋_GB2312" w:cs="仿宋_GB2312"/>
          <w:b w:val="0"/>
          <w:bCs w:val="0"/>
          <w:color w:val="auto"/>
          <w:kern w:val="0"/>
          <w:sz w:val="32"/>
          <w:szCs w:val="32"/>
          <w:highlight w:val="none"/>
          <w:lang w:val="en-US" w:eastAsia="zh-CN"/>
        </w:rPr>
        <w:t>二十八</w:t>
      </w:r>
      <w:r>
        <w:rPr>
          <w:rFonts w:hint="eastAsia" w:ascii="仿宋_GB2312" w:hAnsi="仿宋_GB2312" w:eastAsia="仿宋_GB2312" w:cs="仿宋_GB2312"/>
          <w:b w:val="0"/>
          <w:bCs w:val="0"/>
          <w:color w:val="auto"/>
          <w:kern w:val="0"/>
          <w:sz w:val="32"/>
          <w:szCs w:val="32"/>
          <w:highlight w:val="none"/>
        </w:rPr>
        <w:t>日</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rPr>
      </w:pP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本行董事会</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监事会</w:t>
      </w:r>
      <w:r>
        <w:rPr>
          <w:rFonts w:hint="eastAsia" w:ascii="仿宋_GB2312" w:hAnsi="仿宋_GB2312" w:eastAsia="仿宋_GB2312" w:cs="仿宋_GB2312"/>
          <w:kern w:val="0"/>
          <w:sz w:val="32"/>
          <w:szCs w:val="32"/>
          <w:highlight w:val="none"/>
        </w:rPr>
        <w:t>及董事</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w:t>
      </w:r>
      <w:r>
        <w:rPr>
          <w:rFonts w:hint="eastAsia" w:ascii="仿宋_GB2312" w:hAnsi="仿宋_GB2312" w:eastAsia="仿宋_GB2312" w:cs="仿宋_GB2312"/>
          <w:strike w:val="0"/>
          <w:dstrike w:val="0"/>
          <w:kern w:val="0"/>
          <w:sz w:val="32"/>
          <w:szCs w:val="32"/>
          <w:highlight w:val="none"/>
        </w:rPr>
        <w:t>高</w:t>
      </w:r>
      <w:r>
        <w:rPr>
          <w:rFonts w:hint="eastAsia" w:ascii="仿宋_GB2312" w:hAnsi="仿宋_GB2312" w:eastAsia="仿宋_GB2312" w:cs="仿宋_GB2312"/>
          <w:kern w:val="0"/>
          <w:sz w:val="32"/>
          <w:szCs w:val="32"/>
          <w:highlight w:val="none"/>
        </w:rPr>
        <w:t>级管理人员保证202</w:t>
      </w:r>
      <w:r>
        <w:rPr>
          <w:rFonts w:hint="eastAsia" w:ascii="仿宋_GB2312" w:hAnsi="仿宋_GB2312" w:eastAsia="仿宋_GB2312" w:cs="仿宋_GB2312"/>
          <w:kern w:val="0"/>
          <w:sz w:val="32"/>
          <w:szCs w:val="32"/>
          <w:highlight w:val="none"/>
          <w:lang w:val="en-US" w:eastAsia="zh-CN"/>
        </w:rPr>
        <w:t>5</w:t>
      </w:r>
      <w:r>
        <w:rPr>
          <w:rFonts w:hint="eastAsia" w:ascii="仿宋_GB2312" w:hAnsi="仿宋_GB2312" w:eastAsia="仿宋_GB2312" w:cs="仿宋_GB2312"/>
          <w:kern w:val="0"/>
          <w:sz w:val="32"/>
          <w:szCs w:val="32"/>
          <w:highlight w:val="none"/>
        </w:rPr>
        <w:t>年年度报告中财务报告的真实、完整。</w:t>
      </w:r>
    </w:p>
    <w:p>
      <w:pPr>
        <w:pStyle w:val="4"/>
        <w:rPr>
          <w:rFonts w:hint="eastAsia" w:cs="宋体" w:asciiTheme="minorEastAsia" w:hAnsiTheme="minorEastAsia" w:eastAsiaTheme="minorEastAsia"/>
          <w:kern w:val="0"/>
          <w:sz w:val="30"/>
          <w:szCs w:val="30"/>
          <w:highlight w:val="none"/>
        </w:rPr>
      </w:pPr>
    </w:p>
    <w:p>
      <w:pPr>
        <w:pStyle w:val="4"/>
        <w:ind w:left="0" w:leftChars="0" w:firstLine="0" w:firstLineChars="0"/>
        <w:rPr>
          <w:rFonts w:hint="eastAsia" w:cs="宋体" w:asciiTheme="minorEastAsia" w:hAnsiTheme="minorEastAsia" w:eastAsiaTheme="minorEastAsia"/>
          <w:kern w:val="0"/>
          <w:sz w:val="30"/>
          <w:szCs w:val="30"/>
          <w:highlight w:val="none"/>
        </w:rPr>
      </w:pPr>
    </w:p>
    <w:p>
      <w:pPr>
        <w:autoSpaceDE w:val="0"/>
        <w:autoSpaceDN w:val="0"/>
        <w:adjustRightInd w:val="0"/>
        <w:jc w:val="left"/>
        <w:rPr>
          <w:highlight w:val="none"/>
        </w:rPr>
      </w:pPr>
      <w:r>
        <w:rPr>
          <w:rFonts w:hint="eastAsia" w:cs="仿宋_GB2312" w:asciiTheme="majorEastAsia" w:hAnsiTheme="majorEastAsia" w:eastAsiaTheme="majorEastAsia"/>
          <w:kern w:val="0"/>
          <w:sz w:val="32"/>
          <w:szCs w:val="30"/>
          <w:highlight w:val="none"/>
        </w:rPr>
        <w:tab/>
      </w:r>
    </w:p>
    <w:p>
      <w:pPr>
        <w:pStyle w:val="4"/>
        <w:rPr>
          <w:highlight w:val="none"/>
        </w:rPr>
      </w:pPr>
    </w:p>
    <w:p>
      <w:pPr>
        <w:rPr>
          <w:rFonts w:hint="eastAsia"/>
          <w:highlight w:val="none"/>
        </w:rPr>
      </w:pPr>
      <w:bookmarkStart w:id="0" w:name="_Toc14729"/>
      <w:bookmarkStart w:id="1" w:name="_Toc9088"/>
      <w:r>
        <w:rPr>
          <w:rFonts w:hint="eastAsia"/>
          <w:highlight w:val="none"/>
        </w:rPr>
        <w:br w:type="page"/>
      </w:r>
    </w:p>
    <w:p>
      <w:pPr>
        <w:pStyle w:val="18"/>
        <w:spacing w:line="360" w:lineRule="auto"/>
        <w:jc w:val="center"/>
        <w:rPr>
          <w:rFonts w:hint="eastAsia" w:ascii="仿宋_GB2312" w:hAnsi="仿宋_GB2312" w:eastAsia="仿宋_GB2312" w:cs="仿宋_GB2312"/>
          <w:color w:val="FF0000"/>
          <w:highlight w:val="none"/>
          <w:lang w:eastAsia="zh-CN"/>
        </w:rPr>
      </w:pPr>
      <w:bookmarkStart w:id="2" w:name="_Toc7727"/>
      <w:bookmarkStart w:id="3" w:name="_Toc21237"/>
      <w:r>
        <w:rPr>
          <w:rFonts w:hint="eastAsia" w:ascii="方正小标宋_GBK" w:hAnsi="方正小标宋_GBK" w:eastAsia="方正小标宋_GBK" w:cs="方正小标宋_GBK"/>
          <w:b w:val="0"/>
          <w:bCs/>
          <w:kern w:val="0"/>
          <w:sz w:val="36"/>
          <w:szCs w:val="28"/>
          <w:highlight w:val="none"/>
          <w:lang w:val="en-US" w:eastAsia="zh-CN" w:bidi="ar-SA"/>
        </w:rPr>
        <w:t>第一节 基本情况简介</w:t>
      </w:r>
      <w:bookmarkEnd w:id="0"/>
      <w:bookmarkEnd w:id="1"/>
      <w:bookmarkEnd w:id="2"/>
      <w:bookmarkEnd w:id="3"/>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一、法定名称</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法定中文名称：广东广宁农村商业银行股份有限公司</w:t>
      </w:r>
    </w:p>
    <w:p>
      <w:pPr>
        <w:autoSpaceDE w:val="0"/>
        <w:autoSpaceDN w:val="0"/>
        <w:adjustRightInd w:val="0"/>
        <w:spacing w:line="360" w:lineRule="auto"/>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（简称：广宁农商银行，下称“本行”、“本银行”）</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法定英文名称：Guangdong Guangning Rural Commercial Bank Co., Ltd.（简称：Guangning Rural Commercial Bank）</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成立时间：2008年12月29日</w:t>
      </w:r>
    </w:p>
    <w:p>
      <w:pPr>
        <w:autoSpaceDE w:val="0"/>
        <w:autoSpaceDN w:val="0"/>
        <w:adjustRightInd w:val="0"/>
        <w:spacing w:line="360" w:lineRule="auto"/>
        <w:ind w:firstLine="640" w:firstLineChars="200"/>
        <w:jc w:val="left"/>
        <w:rPr>
          <w:rFonts w:hint="default" w:ascii="宋体" w:hAnsi="宋体" w:eastAsia="黑体" w:cs="仿宋_GB2312"/>
          <w:kern w:val="0"/>
          <w:sz w:val="30"/>
          <w:szCs w:val="30"/>
          <w:highlight w:val="none"/>
          <w:lang w:val="en-US" w:eastAsia="zh-CN"/>
        </w:rPr>
      </w:pPr>
      <w:r>
        <w:rPr>
          <w:rFonts w:hint="eastAsia" w:ascii="黑体" w:hAnsi="Times New Roman" w:eastAsia="黑体" w:cs="Times New Roman"/>
          <w:sz w:val="32"/>
          <w:szCs w:val="32"/>
          <w:highlight w:val="none"/>
        </w:rPr>
        <w:t>二、法定代表人：</w:t>
      </w:r>
      <w:r>
        <w:rPr>
          <w:rFonts w:hint="eastAsia" w:ascii="仿宋_GB2312" w:hAnsi="仿宋_GB2312" w:eastAsia="仿宋_GB2312" w:cs="仿宋_GB2312"/>
          <w:kern w:val="0"/>
          <w:sz w:val="32"/>
          <w:szCs w:val="32"/>
          <w:highlight w:val="none"/>
          <w:lang w:val="en-US" w:eastAsia="zh-CN"/>
        </w:rPr>
        <w:t>黄振邦</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黑体" w:hAnsi="Times New Roman" w:eastAsia="黑体" w:cs="Times New Roman"/>
          <w:sz w:val="32"/>
          <w:szCs w:val="32"/>
          <w:highlight w:val="none"/>
        </w:rPr>
        <w:t>三、注册地及办公地址：</w:t>
      </w:r>
      <w:r>
        <w:rPr>
          <w:rFonts w:hint="eastAsia" w:ascii="仿宋_GB2312" w:hAnsi="仿宋_GB2312" w:eastAsia="仿宋_GB2312" w:cs="仿宋_GB2312"/>
          <w:kern w:val="0"/>
          <w:sz w:val="32"/>
          <w:szCs w:val="32"/>
          <w:highlight w:val="none"/>
        </w:rPr>
        <w:t>广东省肇庆市广宁县南街街道城南大道</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邮政编码：526300</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联系电话：0758-8619691</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客服电话：96138</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黑体" w:hAnsi="Times New Roman" w:eastAsia="黑体" w:cs="Times New Roman"/>
          <w:sz w:val="32"/>
          <w:szCs w:val="32"/>
          <w:highlight w:val="none"/>
        </w:rPr>
        <w:t>四、注册资本：</w:t>
      </w:r>
      <w:r>
        <w:rPr>
          <w:rFonts w:hint="eastAsia" w:ascii="仿宋_GB2312" w:hAnsi="仿宋_GB2312" w:eastAsia="仿宋_GB2312" w:cs="仿宋_GB2312"/>
          <w:kern w:val="0"/>
          <w:sz w:val="32"/>
          <w:szCs w:val="32"/>
          <w:highlight w:val="none"/>
        </w:rPr>
        <w:t>人民币叁亿柒仟玖佰柒拾陆万玖仟陆佰零捌元（¥</w:t>
      </w:r>
      <w:r>
        <w:rPr>
          <w:rFonts w:hint="eastAsia" w:ascii="仿宋_GB2312" w:hAnsi="仿宋_GB2312" w:eastAsia="仿宋_GB2312" w:cs="仿宋_GB2312"/>
          <w:color w:val="000000"/>
          <w:sz w:val="32"/>
          <w:szCs w:val="32"/>
          <w:highlight w:val="none"/>
        </w:rPr>
        <w:t>379,769,608</w:t>
      </w:r>
      <w:r>
        <w:rPr>
          <w:rFonts w:hint="eastAsia" w:ascii="仿宋_GB2312" w:hAnsi="仿宋_GB2312" w:eastAsia="仿宋_GB2312" w:cs="仿宋_GB2312"/>
          <w:kern w:val="0"/>
          <w:sz w:val="32"/>
          <w:szCs w:val="32"/>
          <w:highlight w:val="none"/>
        </w:rPr>
        <w:t>元）</w:t>
      </w:r>
    </w:p>
    <w:p>
      <w:pPr>
        <w:spacing w:line="360" w:lineRule="auto"/>
        <w:ind w:firstLine="640" w:firstLineChars="200"/>
        <w:rPr>
          <w:rFonts w:hint="eastAsia" w:ascii="仿宋_GB2312" w:hAnsi="仿宋_GB2312" w:eastAsia="仿宋_GB2312" w:cs="仿宋_GB2312"/>
          <w:kern w:val="0"/>
          <w:sz w:val="32"/>
          <w:szCs w:val="32"/>
          <w:highlight w:val="none"/>
        </w:rPr>
      </w:pPr>
      <w:r>
        <w:rPr>
          <w:rFonts w:hint="eastAsia" w:ascii="黑体" w:hAnsi="Times New Roman" w:eastAsia="黑体" w:cs="Times New Roman"/>
          <w:sz w:val="32"/>
          <w:szCs w:val="32"/>
          <w:highlight w:val="none"/>
        </w:rPr>
        <w:t>五、经营范围：</w:t>
      </w:r>
      <w:r>
        <w:rPr>
          <w:rFonts w:hint="eastAsia" w:ascii="仿宋_GB2312" w:hAnsi="仿宋_GB2312" w:eastAsia="仿宋_GB2312" w:cs="仿宋_GB2312"/>
          <w:kern w:val="0"/>
          <w:sz w:val="32"/>
          <w:szCs w:val="32"/>
          <w:highlight w:val="none"/>
        </w:rPr>
        <w:t>经国务院银行业监督管理机构批准，并经依法登记，本行的经营范围为：吸收人民币公众存款；发放人民币短期、中期和长期贷款；办理国内结算；办理票据承兑与贴现；代理发行、代理兑付、承销政府债券；买卖政府债券、金融债券；从事同业拆借；从事银行卡（借记卡）业务；代理收付款项业务及代理保险业务；提供保管箱服务；经国务院银行业监督管理机构及其他相关监管机构批准的其他业务。</w:t>
      </w:r>
      <w:bookmarkStart w:id="4" w:name="_Toc15360"/>
      <w:bookmarkStart w:id="5" w:name="_Toc23512"/>
      <w:bookmarkStart w:id="6" w:name="_Toc14511"/>
      <w:bookmarkStart w:id="7" w:name="_Toc4530"/>
      <w:bookmarkStart w:id="8" w:name="_Toc8772"/>
    </w:p>
    <w:p>
      <w:pPr>
        <w:spacing w:line="360" w:lineRule="auto"/>
        <w:ind w:firstLine="640" w:firstLineChars="200"/>
        <w:rPr>
          <w:rFonts w:hint="eastAsia" w:ascii="黑体" w:hAnsi="Times New Roman" w:eastAsia="黑体" w:cs="Times New Roman"/>
          <w:b w:val="0"/>
          <w:bCs w:val="0"/>
          <w:kern w:val="2"/>
          <w:sz w:val="32"/>
          <w:szCs w:val="32"/>
          <w:highlight w:val="none"/>
          <w:lang w:val="en-US" w:eastAsia="zh-CN" w:bidi="ar-SA"/>
        </w:rPr>
      </w:pPr>
      <w:r>
        <w:rPr>
          <w:rFonts w:hint="eastAsia" w:ascii="黑体" w:hAnsi="Times New Roman" w:eastAsia="黑体" w:cs="Times New Roman"/>
          <w:b w:val="0"/>
          <w:bCs w:val="0"/>
          <w:kern w:val="2"/>
          <w:sz w:val="32"/>
          <w:szCs w:val="32"/>
          <w:highlight w:val="none"/>
          <w:lang w:val="en-US" w:eastAsia="zh-CN" w:bidi="ar-SA"/>
        </w:rPr>
        <w:t>六、各分支机构及营业场所</w:t>
      </w:r>
      <w:bookmarkEnd w:id="4"/>
      <w:bookmarkEnd w:id="5"/>
      <w:bookmarkEnd w:id="6"/>
      <w:bookmarkEnd w:id="7"/>
      <w:bookmarkEnd w:id="8"/>
    </w:p>
    <w:tbl>
      <w:tblPr>
        <w:tblStyle w:val="20"/>
        <w:tblW w:w="8496" w:type="dxa"/>
        <w:tblInd w:w="0" w:type="dxa"/>
        <w:tblLayout w:type="fixed"/>
        <w:tblCellMar>
          <w:top w:w="0" w:type="dxa"/>
          <w:left w:w="108" w:type="dxa"/>
          <w:bottom w:w="0" w:type="dxa"/>
          <w:right w:w="108" w:type="dxa"/>
        </w:tblCellMar>
      </w:tblPr>
      <w:tblGrid>
        <w:gridCol w:w="1669"/>
        <w:gridCol w:w="6827"/>
      </w:tblGrid>
      <w:tr>
        <w:tblPrEx>
          <w:tblCellMar>
            <w:top w:w="0" w:type="dxa"/>
            <w:left w:w="108" w:type="dxa"/>
            <w:bottom w:w="0" w:type="dxa"/>
            <w:right w:w="108" w:type="dxa"/>
          </w:tblCellMar>
        </w:tblPrEx>
        <w:trPr>
          <w:trHeight w:val="642" w:hRule="atLeast"/>
        </w:trPr>
        <w:tc>
          <w:tcPr>
            <w:tcW w:w="1669" w:type="dxa"/>
            <w:tcBorders>
              <w:top w:val="nil"/>
              <w:left w:val="nil"/>
              <w:bottom w:val="nil"/>
              <w:right w:val="nil"/>
            </w:tcBorders>
            <w:shd w:val="clear" w:color="DCE6F1" w:fill="DCE6F1"/>
            <w:vAlign w:val="center"/>
          </w:tcPr>
          <w:p>
            <w:pPr>
              <w:widowControl/>
              <w:jc w:val="both"/>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总行营业部</w:t>
            </w:r>
          </w:p>
        </w:tc>
        <w:tc>
          <w:tcPr>
            <w:tcW w:w="6827" w:type="dxa"/>
            <w:tcBorders>
              <w:top w:val="nil"/>
              <w:left w:val="nil"/>
              <w:bottom w:val="nil"/>
              <w:right w:val="nil"/>
            </w:tcBorders>
            <w:shd w:val="clear" w:color="DCE6F1" w:fill="DCE6F1"/>
            <w:vAlign w:val="center"/>
          </w:tcPr>
          <w:p>
            <w:pPr>
              <w:widowControl/>
              <w:jc w:val="both"/>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广东省肇庆市广宁县南街街道城南大道</w:t>
            </w:r>
          </w:p>
        </w:tc>
      </w:tr>
      <w:tr>
        <w:tblPrEx>
          <w:tblCellMar>
            <w:top w:w="0" w:type="dxa"/>
            <w:left w:w="108" w:type="dxa"/>
            <w:bottom w:w="0" w:type="dxa"/>
            <w:right w:w="108" w:type="dxa"/>
          </w:tblCellMar>
        </w:tblPrEx>
        <w:trPr>
          <w:trHeight w:val="537"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广玉支行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广宁县南街街道广玉路旭日名都2幢首层1-9号商铺</w:t>
            </w:r>
          </w:p>
        </w:tc>
      </w:tr>
      <w:tr>
        <w:tblPrEx>
          <w:tblCellMar>
            <w:top w:w="0" w:type="dxa"/>
            <w:left w:w="108" w:type="dxa"/>
            <w:bottom w:w="0" w:type="dxa"/>
            <w:right w:w="108" w:type="dxa"/>
          </w:tblCellMar>
        </w:tblPrEx>
        <w:trPr>
          <w:trHeight w:val="477"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排沙支行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广宁县排沙镇排沙南路2号</w:t>
            </w:r>
          </w:p>
        </w:tc>
      </w:tr>
      <w:tr>
        <w:tblPrEx>
          <w:tblCellMar>
            <w:top w:w="0" w:type="dxa"/>
            <w:left w:w="108" w:type="dxa"/>
            <w:bottom w:w="0" w:type="dxa"/>
            <w:right w:w="108" w:type="dxa"/>
          </w:tblCellMar>
        </w:tblPrEx>
        <w:trPr>
          <w:trHeight w:val="55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石涧支行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广宁县宾亨镇石涧中华中路</w:t>
            </w:r>
          </w:p>
        </w:tc>
      </w:tr>
      <w:tr>
        <w:tblPrEx>
          <w:tblCellMar>
            <w:top w:w="0" w:type="dxa"/>
            <w:left w:w="108" w:type="dxa"/>
            <w:bottom w:w="0" w:type="dxa"/>
            <w:right w:w="108" w:type="dxa"/>
          </w:tblCellMar>
        </w:tblPrEx>
        <w:trPr>
          <w:trHeight w:val="58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潭布支行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广宁县潭布镇永兴路21号</w:t>
            </w:r>
          </w:p>
        </w:tc>
      </w:tr>
      <w:tr>
        <w:tblPrEx>
          <w:tblCellMar>
            <w:top w:w="0" w:type="dxa"/>
            <w:left w:w="108" w:type="dxa"/>
            <w:bottom w:w="0" w:type="dxa"/>
            <w:right w:w="108" w:type="dxa"/>
          </w:tblCellMar>
        </w:tblPrEx>
        <w:trPr>
          <w:trHeight w:val="507"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江屯支行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广宁县江屯镇建设一路102号</w:t>
            </w:r>
          </w:p>
        </w:tc>
      </w:tr>
      <w:tr>
        <w:tblPrEx>
          <w:tblCellMar>
            <w:top w:w="0" w:type="dxa"/>
            <w:left w:w="108" w:type="dxa"/>
            <w:bottom w:w="0" w:type="dxa"/>
            <w:right w:w="108" w:type="dxa"/>
          </w:tblCellMar>
        </w:tblPrEx>
        <w:trPr>
          <w:trHeight w:val="417"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坑口支行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广宁县坑口墟镇215号之一</w:t>
            </w:r>
          </w:p>
        </w:tc>
      </w:tr>
      <w:tr>
        <w:tblPrEx>
          <w:tblCellMar>
            <w:top w:w="0" w:type="dxa"/>
            <w:left w:w="108" w:type="dxa"/>
            <w:bottom w:w="0" w:type="dxa"/>
            <w:right w:w="108" w:type="dxa"/>
          </w:tblCellMar>
        </w:tblPrEx>
        <w:trPr>
          <w:trHeight w:val="52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宾亨支行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广宁县宾亨镇东堤路31号</w:t>
            </w:r>
          </w:p>
        </w:tc>
      </w:tr>
      <w:tr>
        <w:tblPrEx>
          <w:tblCellMar>
            <w:top w:w="0" w:type="dxa"/>
            <w:left w:w="108" w:type="dxa"/>
            <w:bottom w:w="0" w:type="dxa"/>
            <w:right w:w="108" w:type="dxa"/>
          </w:tblCellMar>
        </w:tblPrEx>
        <w:trPr>
          <w:trHeight w:val="52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横山支行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广宁县横山镇南兴路</w:t>
            </w:r>
          </w:p>
        </w:tc>
      </w:tr>
      <w:tr>
        <w:tblPrEx>
          <w:tblCellMar>
            <w:top w:w="0" w:type="dxa"/>
            <w:left w:w="108" w:type="dxa"/>
            <w:bottom w:w="0" w:type="dxa"/>
            <w:right w:w="108" w:type="dxa"/>
          </w:tblCellMar>
        </w:tblPrEx>
        <w:trPr>
          <w:trHeight w:val="447"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木格支行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广宁县木格镇墟镇101号</w:t>
            </w:r>
          </w:p>
        </w:tc>
      </w:tr>
      <w:tr>
        <w:tblPrEx>
          <w:tblCellMar>
            <w:top w:w="0" w:type="dxa"/>
            <w:left w:w="108" w:type="dxa"/>
            <w:bottom w:w="0" w:type="dxa"/>
            <w:right w:w="108" w:type="dxa"/>
          </w:tblCellMar>
        </w:tblPrEx>
        <w:trPr>
          <w:trHeight w:val="49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古水支行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广宁县古水镇古水大道25号</w:t>
            </w:r>
          </w:p>
        </w:tc>
      </w:tr>
      <w:tr>
        <w:tblPrEx>
          <w:tblCellMar>
            <w:top w:w="0" w:type="dxa"/>
            <w:left w:w="108" w:type="dxa"/>
            <w:bottom w:w="0" w:type="dxa"/>
            <w:right w:w="108" w:type="dxa"/>
          </w:tblCellMar>
        </w:tblPrEx>
        <w:trPr>
          <w:trHeight w:val="527"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南街支行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广宁县南街街道南东二路35号（第一、二层、三层）</w:t>
            </w:r>
          </w:p>
        </w:tc>
      </w:tr>
      <w:tr>
        <w:tblPrEx>
          <w:tblCellMar>
            <w:top w:w="0" w:type="dxa"/>
            <w:left w:w="108" w:type="dxa"/>
            <w:bottom w:w="0" w:type="dxa"/>
            <w:right w:w="108" w:type="dxa"/>
          </w:tblCellMar>
        </w:tblPrEx>
        <w:trPr>
          <w:trHeight w:val="49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中华东支行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广宁县南街街道中华东路1号（第一至三层）</w:t>
            </w:r>
          </w:p>
        </w:tc>
      </w:tr>
      <w:tr>
        <w:tblPrEx>
          <w:tblCellMar>
            <w:top w:w="0" w:type="dxa"/>
            <w:left w:w="108" w:type="dxa"/>
            <w:bottom w:w="0" w:type="dxa"/>
            <w:right w:w="108" w:type="dxa"/>
          </w:tblCellMar>
        </w:tblPrEx>
        <w:trPr>
          <w:trHeight w:val="49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南东支行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广宁县南街街道南东一路41号（第一、二层）</w:t>
            </w:r>
          </w:p>
        </w:tc>
      </w:tr>
      <w:tr>
        <w:tblPrEx>
          <w:tblCellMar>
            <w:top w:w="0" w:type="dxa"/>
            <w:left w:w="108" w:type="dxa"/>
            <w:bottom w:w="0" w:type="dxa"/>
            <w:right w:w="108" w:type="dxa"/>
          </w:tblCellMar>
        </w:tblPrEx>
        <w:trPr>
          <w:trHeight w:val="46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东乡支行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广宁县南街街道东乡大桥北端西边</w:t>
            </w:r>
          </w:p>
        </w:tc>
      </w:tr>
      <w:tr>
        <w:tblPrEx>
          <w:tblCellMar>
            <w:top w:w="0" w:type="dxa"/>
            <w:left w:w="108" w:type="dxa"/>
            <w:bottom w:w="0" w:type="dxa"/>
            <w:right w:w="108" w:type="dxa"/>
          </w:tblCellMar>
        </w:tblPrEx>
        <w:trPr>
          <w:trHeight w:val="285"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南坤支行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广宁县南街街道南坤大道20号106卡、22号107卡、26号108卡、109卡铺位</w:t>
            </w:r>
          </w:p>
        </w:tc>
      </w:tr>
      <w:tr>
        <w:tblPrEx>
          <w:tblCellMar>
            <w:top w:w="0" w:type="dxa"/>
            <w:left w:w="108" w:type="dxa"/>
            <w:bottom w:w="0" w:type="dxa"/>
            <w:right w:w="108" w:type="dxa"/>
          </w:tblCellMar>
        </w:tblPrEx>
        <w:trPr>
          <w:trHeight w:val="52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环城东支行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广宁县南街街道环城东路78号（第一、二层）</w:t>
            </w:r>
          </w:p>
        </w:tc>
      </w:tr>
      <w:tr>
        <w:tblPrEx>
          <w:tblCellMar>
            <w:top w:w="0" w:type="dxa"/>
            <w:left w:w="108" w:type="dxa"/>
            <w:bottom w:w="0" w:type="dxa"/>
            <w:right w:w="108" w:type="dxa"/>
          </w:tblCellMar>
        </w:tblPrEx>
        <w:trPr>
          <w:trHeight w:val="58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五和支行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广宁县五和镇始兴路北街15号</w:t>
            </w:r>
          </w:p>
        </w:tc>
      </w:tr>
      <w:tr>
        <w:tblPrEx>
          <w:tblCellMar>
            <w:top w:w="0" w:type="dxa"/>
            <w:left w:w="108" w:type="dxa"/>
            <w:bottom w:w="0" w:type="dxa"/>
            <w:right w:w="108" w:type="dxa"/>
          </w:tblCellMar>
        </w:tblPrEx>
        <w:trPr>
          <w:trHeight w:val="537"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洲仔支行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广宁县洲仔镇墟镇81号</w:t>
            </w:r>
          </w:p>
        </w:tc>
      </w:tr>
      <w:tr>
        <w:tblPrEx>
          <w:tblCellMar>
            <w:top w:w="0" w:type="dxa"/>
            <w:left w:w="108" w:type="dxa"/>
            <w:bottom w:w="0" w:type="dxa"/>
            <w:right w:w="108" w:type="dxa"/>
          </w:tblCellMar>
        </w:tblPrEx>
        <w:trPr>
          <w:trHeight w:val="46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螺岗支行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广宁县螺岗镇环城路36号</w:t>
            </w:r>
          </w:p>
        </w:tc>
      </w:tr>
      <w:tr>
        <w:tblPrEx>
          <w:tblCellMar>
            <w:top w:w="0" w:type="dxa"/>
            <w:left w:w="108" w:type="dxa"/>
            <w:bottom w:w="0" w:type="dxa"/>
            <w:right w:w="108" w:type="dxa"/>
          </w:tblCellMar>
        </w:tblPrEx>
        <w:trPr>
          <w:trHeight w:val="537"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北市支行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广宁县北市镇墟镇扶溪南路27号</w:t>
            </w:r>
          </w:p>
        </w:tc>
      </w:tr>
      <w:tr>
        <w:tblPrEx>
          <w:tblCellMar>
            <w:top w:w="0" w:type="dxa"/>
            <w:left w:w="108" w:type="dxa"/>
            <w:bottom w:w="0" w:type="dxa"/>
            <w:right w:w="108" w:type="dxa"/>
          </w:tblCellMar>
        </w:tblPrEx>
        <w:trPr>
          <w:trHeight w:val="49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赤坑支行</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广宁县赤坑墟镇36号</w:t>
            </w:r>
          </w:p>
        </w:tc>
      </w:tr>
      <w:tr>
        <w:tblPrEx>
          <w:tblCellMar>
            <w:top w:w="0" w:type="dxa"/>
            <w:left w:w="108" w:type="dxa"/>
            <w:bottom w:w="0" w:type="dxa"/>
            <w:right w:w="108" w:type="dxa"/>
          </w:tblCellMar>
        </w:tblPrEx>
        <w:trPr>
          <w:trHeight w:val="552" w:hRule="atLeast"/>
        </w:trPr>
        <w:tc>
          <w:tcPr>
            <w:tcW w:w="1669"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石咀支行</w:t>
            </w:r>
          </w:p>
        </w:tc>
        <w:tc>
          <w:tcPr>
            <w:tcW w:w="6827" w:type="dxa"/>
            <w:tcBorders>
              <w:top w:val="nil"/>
              <w:left w:val="nil"/>
              <w:bottom w:val="nil"/>
              <w:right w:val="nil"/>
            </w:tcBorders>
            <w:shd w:val="clear" w:color="DCE6F1" w:fill="DCE6F1"/>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广宁县石咀镇墟镇34号（办公楼）</w:t>
            </w:r>
          </w:p>
        </w:tc>
      </w:tr>
      <w:tr>
        <w:tblPrEx>
          <w:tblCellMar>
            <w:top w:w="0" w:type="dxa"/>
            <w:left w:w="108" w:type="dxa"/>
            <w:bottom w:w="0" w:type="dxa"/>
            <w:right w:w="108" w:type="dxa"/>
          </w:tblCellMar>
        </w:tblPrEx>
        <w:trPr>
          <w:trHeight w:val="582" w:hRule="atLeast"/>
        </w:trPr>
        <w:tc>
          <w:tcPr>
            <w:tcW w:w="1669"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联和分理处</w:t>
            </w:r>
          </w:p>
        </w:tc>
        <w:tc>
          <w:tcPr>
            <w:tcW w:w="6827" w:type="dxa"/>
            <w:tcBorders>
              <w:top w:val="nil"/>
              <w:left w:val="nil"/>
              <w:bottom w:val="nil"/>
              <w:right w:val="nil"/>
            </w:tcBorders>
            <w:shd w:val="clear" w:color="auto" w:fill="auto"/>
            <w:vAlign w:val="center"/>
          </w:tcPr>
          <w:p>
            <w:pPr>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广宁县江屯镇联和墟镇人民中路27号</w:t>
            </w:r>
          </w:p>
        </w:tc>
      </w:tr>
    </w:tbl>
    <w:p>
      <w:pPr>
        <w:autoSpaceDE w:val="0"/>
        <w:autoSpaceDN w:val="0"/>
        <w:adjustRightInd w:val="0"/>
        <w:spacing w:line="360" w:lineRule="auto"/>
        <w:ind w:left="3327" w:leftChars="213" w:hanging="2880" w:hangingChars="900"/>
        <w:jc w:val="left"/>
        <w:rPr>
          <w:rFonts w:hint="eastAsia" w:ascii="宋体" w:hAnsi="宋体" w:cs="仿宋_GB2312"/>
          <w:b/>
          <w:bCs/>
          <w:color w:val="FF0000"/>
          <w:kern w:val="0"/>
          <w:sz w:val="30"/>
          <w:szCs w:val="30"/>
          <w:highlight w:val="none"/>
          <w:lang w:eastAsia="zh-CN"/>
        </w:rPr>
      </w:pPr>
      <w:r>
        <w:rPr>
          <w:rFonts w:hint="eastAsia" w:ascii="黑体" w:hAnsi="Times New Roman" w:eastAsia="黑体" w:cs="Times New Roman"/>
          <w:b w:val="0"/>
          <w:bCs w:val="0"/>
          <w:kern w:val="2"/>
          <w:sz w:val="32"/>
          <w:szCs w:val="32"/>
          <w:highlight w:val="none"/>
          <w:lang w:val="en-US" w:eastAsia="zh-CN" w:bidi="ar-SA"/>
        </w:rPr>
        <w:t>七、会计师事务所：</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安礼华粤（广东）会计师事务所（特殊普通合伙）</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rPr>
      </w:pPr>
      <w:r>
        <w:rPr>
          <w:rFonts w:hint="eastAsia" w:ascii="仿宋_GB2312" w:hAnsi="仿宋_GB2312" w:eastAsia="仿宋_GB2312" w:cs="仿宋_GB2312"/>
          <w:color w:val="auto"/>
          <w:kern w:val="0"/>
          <w:sz w:val="32"/>
          <w:szCs w:val="32"/>
          <w:highlight w:val="none"/>
        </w:rPr>
        <w:t>办公地址：广州市</w:t>
      </w:r>
      <w:r>
        <w:rPr>
          <w:rFonts w:hint="eastAsia" w:ascii="仿宋_GB2312" w:hAnsi="仿宋_GB2312" w:eastAsia="仿宋_GB2312" w:cs="仿宋_GB2312"/>
          <w:color w:val="auto"/>
          <w:kern w:val="0"/>
          <w:sz w:val="32"/>
          <w:szCs w:val="32"/>
          <w:highlight w:val="none"/>
          <w:lang w:val="en-US" w:eastAsia="zh-CN"/>
        </w:rPr>
        <w:t>南沙区南沙街兴沙路6号703房-1</w:t>
      </w:r>
    </w:p>
    <w:p>
      <w:pPr>
        <w:autoSpaceDE w:val="0"/>
        <w:autoSpaceDN w:val="0"/>
        <w:adjustRightInd w:val="0"/>
        <w:spacing w:line="360" w:lineRule="auto"/>
        <w:ind w:firstLine="480" w:firstLineChars="150"/>
        <w:jc w:val="left"/>
        <w:rPr>
          <w:rFonts w:cs="仿宋_GB2312" w:asciiTheme="minorEastAsia" w:hAnsiTheme="minorEastAsia" w:eastAsiaTheme="minorEastAsia"/>
          <w:b/>
          <w:bCs/>
          <w:color w:val="FF0000"/>
          <w:kern w:val="0"/>
          <w:sz w:val="30"/>
          <w:szCs w:val="30"/>
          <w:highlight w:val="none"/>
        </w:rPr>
      </w:pPr>
      <w:r>
        <w:rPr>
          <w:rFonts w:hint="eastAsia" w:ascii="黑体" w:hAnsi="Times New Roman" w:eastAsia="黑体" w:cs="Times New Roman"/>
          <w:b w:val="0"/>
          <w:bCs w:val="0"/>
          <w:kern w:val="2"/>
          <w:sz w:val="32"/>
          <w:szCs w:val="32"/>
          <w:highlight w:val="none"/>
          <w:lang w:val="en-US" w:eastAsia="zh-CN" w:bidi="ar-SA"/>
        </w:rPr>
        <w:t>八、法律顾问：</w:t>
      </w:r>
      <w:r>
        <w:rPr>
          <w:rFonts w:hint="eastAsia" w:ascii="仿宋_GB2312" w:hAnsi="仿宋_GB2312" w:eastAsia="仿宋_GB2312" w:cs="仿宋_GB2312"/>
          <w:color w:val="auto"/>
          <w:kern w:val="0"/>
          <w:sz w:val="32"/>
          <w:szCs w:val="32"/>
          <w:highlight w:val="none"/>
          <w:lang w:val="en-US" w:eastAsia="zh-CN"/>
        </w:rPr>
        <w:t>植丰律师</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律师事务所：广东山丰律师事务所</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联系电话：0758-2525810</w:t>
      </w:r>
    </w:p>
    <w:p>
      <w:pPr>
        <w:autoSpaceDE w:val="0"/>
        <w:autoSpaceDN w:val="0"/>
        <w:adjustRightInd w:val="0"/>
        <w:spacing w:line="360" w:lineRule="auto"/>
        <w:ind w:firstLine="480" w:firstLineChars="150"/>
        <w:jc w:val="left"/>
        <w:rPr>
          <w:rFonts w:hint="eastAsia" w:ascii="仿宋_GB2312" w:eastAsia="仿宋_GB2312" w:cs="仿宋_GB2312"/>
          <w:kern w:val="0"/>
          <w:sz w:val="30"/>
          <w:szCs w:val="30"/>
          <w:highlight w:val="none"/>
          <w:lang w:eastAsia="zh-CN"/>
        </w:rPr>
      </w:pPr>
      <w:r>
        <w:rPr>
          <w:rFonts w:hint="eastAsia" w:ascii="黑体" w:hAnsi="Times New Roman" w:eastAsia="黑体" w:cs="Times New Roman"/>
          <w:b w:val="0"/>
          <w:bCs w:val="0"/>
          <w:kern w:val="2"/>
          <w:sz w:val="32"/>
          <w:szCs w:val="32"/>
          <w:highlight w:val="none"/>
          <w:lang w:val="en-US" w:eastAsia="zh-CN" w:bidi="ar-SA"/>
        </w:rPr>
        <w:t>九、本行选定的信息披露渠道：</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披露渠道：本行网站（www.gnnsh.com）</w:t>
      </w:r>
    </w:p>
    <w:p>
      <w:pPr>
        <w:autoSpaceDE w:val="0"/>
        <w:autoSpaceDN w:val="0"/>
        <w:adjustRightInd w:val="0"/>
        <w:spacing w:line="360" w:lineRule="auto"/>
        <w:ind w:left="1887" w:leftChars="213" w:hanging="1440" w:hangingChars="45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年度报告备置地点：本行董事会办公室</w:t>
      </w:r>
    </w:p>
    <w:p>
      <w:pPr>
        <w:autoSpaceDE w:val="0"/>
        <w:autoSpaceDN w:val="0"/>
        <w:adjustRightInd w:val="0"/>
        <w:spacing w:line="360" w:lineRule="auto"/>
        <w:ind w:left="1887" w:leftChars="213" w:hanging="1440" w:hangingChars="450"/>
        <w:jc w:val="left"/>
        <w:rPr>
          <w:rFonts w:ascii="仿宋_GB2312" w:eastAsia="仿宋_GB2312" w:cs="仿宋_GB2312"/>
          <w:kern w:val="0"/>
          <w:sz w:val="30"/>
          <w:szCs w:val="30"/>
          <w:highlight w:val="none"/>
        </w:rPr>
      </w:pPr>
      <w:r>
        <w:rPr>
          <w:rFonts w:hint="eastAsia" w:ascii="仿宋_GB2312" w:hAnsi="仿宋_GB2312" w:eastAsia="仿宋_GB2312" w:cs="仿宋_GB2312"/>
          <w:color w:val="auto"/>
          <w:kern w:val="0"/>
          <w:sz w:val="32"/>
          <w:szCs w:val="32"/>
          <w:highlight w:val="none"/>
          <w:lang w:val="en-US" w:eastAsia="zh-CN"/>
        </w:rPr>
        <w:t>联系电话：0758-8619691</w:t>
      </w:r>
    </w:p>
    <w:p>
      <w:pPr>
        <w:pStyle w:val="18"/>
        <w:spacing w:line="360" w:lineRule="auto"/>
        <w:jc w:val="center"/>
        <w:rPr>
          <w:rFonts w:hint="eastAsia" w:ascii="方正小标宋_GBK" w:hAnsi="方正小标宋_GBK" w:eastAsia="方正小标宋_GBK" w:cs="方正小标宋_GBK"/>
          <w:b w:val="0"/>
          <w:bCs w:val="0"/>
          <w:sz w:val="36"/>
          <w:szCs w:val="36"/>
          <w:highlight w:val="none"/>
        </w:rPr>
      </w:pPr>
      <w:bookmarkStart w:id="9" w:name="_Toc12594"/>
      <w:bookmarkStart w:id="10" w:name="_Toc22136"/>
      <w:bookmarkStart w:id="11" w:name="_Toc22168"/>
      <w:bookmarkStart w:id="12" w:name="_Toc22789"/>
    </w:p>
    <w:p>
      <w:pPr>
        <w:pStyle w:val="18"/>
        <w:spacing w:line="360" w:lineRule="auto"/>
        <w:jc w:val="center"/>
        <w:rPr>
          <w:highlight w:val="none"/>
        </w:rPr>
      </w:pPr>
      <w:r>
        <w:rPr>
          <w:rFonts w:hint="eastAsia" w:ascii="方正小标宋_GBK" w:hAnsi="方正小标宋_GBK" w:eastAsia="方正小标宋_GBK" w:cs="方正小标宋_GBK"/>
          <w:b w:val="0"/>
          <w:bCs w:val="0"/>
          <w:sz w:val="36"/>
          <w:szCs w:val="36"/>
          <w:highlight w:val="none"/>
        </w:rPr>
        <w:t>第二节 会计数据和业务数据摘要</w:t>
      </w:r>
      <w:bookmarkEnd w:id="9"/>
      <w:bookmarkEnd w:id="10"/>
      <w:bookmarkEnd w:id="11"/>
      <w:bookmarkEnd w:id="12"/>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一、报告期主要财务数据</w:t>
      </w:r>
    </w:p>
    <w:p>
      <w:pPr>
        <w:autoSpaceDE w:val="0"/>
        <w:autoSpaceDN w:val="0"/>
        <w:adjustRightInd w:val="0"/>
        <w:spacing w:line="360" w:lineRule="auto"/>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单位：人民币万元</w:t>
      </w:r>
    </w:p>
    <w:tbl>
      <w:tblPr>
        <w:tblStyle w:val="20"/>
        <w:tblW w:w="8496" w:type="dxa"/>
        <w:tblInd w:w="0" w:type="dxa"/>
        <w:tblLayout w:type="fixed"/>
        <w:tblCellMar>
          <w:top w:w="0" w:type="dxa"/>
          <w:left w:w="108" w:type="dxa"/>
          <w:bottom w:w="0" w:type="dxa"/>
          <w:right w:w="108" w:type="dxa"/>
        </w:tblCellMar>
      </w:tblPr>
      <w:tblGrid>
        <w:gridCol w:w="3161"/>
        <w:gridCol w:w="5335"/>
      </w:tblGrid>
      <w:tr>
        <w:tblPrEx>
          <w:tblCellMar>
            <w:top w:w="0" w:type="dxa"/>
            <w:left w:w="108" w:type="dxa"/>
            <w:bottom w:w="0" w:type="dxa"/>
            <w:right w:w="108" w:type="dxa"/>
          </w:tblCellMar>
        </w:tblPrEx>
        <w:trPr>
          <w:trHeight w:val="285" w:hRule="atLeast"/>
        </w:trPr>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项目</w:t>
            </w:r>
          </w:p>
        </w:tc>
        <w:tc>
          <w:tcPr>
            <w:tcW w:w="533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本年数</w:t>
            </w:r>
          </w:p>
        </w:tc>
      </w:tr>
      <w:tr>
        <w:tblPrEx>
          <w:tblCellMar>
            <w:top w:w="0" w:type="dxa"/>
            <w:left w:w="108" w:type="dxa"/>
            <w:bottom w:w="0" w:type="dxa"/>
            <w:right w:w="108" w:type="dxa"/>
          </w:tblCellMar>
        </w:tblPrEx>
        <w:trPr>
          <w:trHeight w:val="285"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经营利润</w:t>
            </w:r>
          </w:p>
        </w:tc>
        <w:tc>
          <w:tcPr>
            <w:tcW w:w="5335" w:type="dxa"/>
            <w:tcBorders>
              <w:top w:val="nil"/>
              <w:left w:val="nil"/>
              <w:bottom w:val="single" w:color="auto" w:sz="4" w:space="0"/>
              <w:right w:val="single" w:color="auto" w:sz="4" w:space="0"/>
            </w:tcBorders>
            <w:vAlign w:val="center"/>
          </w:tcPr>
          <w:p>
            <w:pPr>
              <w:widowControl/>
              <w:jc w:val="center"/>
              <w:rPr>
                <w:rFonts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17255</w:t>
            </w:r>
          </w:p>
        </w:tc>
      </w:tr>
      <w:tr>
        <w:tblPrEx>
          <w:tblCellMar>
            <w:top w:w="0" w:type="dxa"/>
            <w:left w:w="108" w:type="dxa"/>
            <w:bottom w:w="0" w:type="dxa"/>
            <w:right w:w="108" w:type="dxa"/>
          </w:tblCellMar>
        </w:tblPrEx>
        <w:trPr>
          <w:trHeight w:val="285"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利润总额</w:t>
            </w:r>
          </w:p>
        </w:tc>
        <w:tc>
          <w:tcPr>
            <w:tcW w:w="5335" w:type="dxa"/>
            <w:tcBorders>
              <w:top w:val="nil"/>
              <w:left w:val="nil"/>
              <w:bottom w:val="single" w:color="auto" w:sz="4" w:space="0"/>
              <w:right w:val="single" w:color="auto" w:sz="4" w:space="0"/>
            </w:tcBorders>
            <w:vAlign w:val="top"/>
          </w:tcPr>
          <w:p>
            <w:pPr>
              <w:jc w:val="center"/>
              <w:rPr>
                <w:rFonts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 xml:space="preserve"> 4274.60</w:t>
            </w:r>
          </w:p>
        </w:tc>
      </w:tr>
      <w:tr>
        <w:tblPrEx>
          <w:tblCellMar>
            <w:top w:w="0" w:type="dxa"/>
            <w:left w:w="108" w:type="dxa"/>
            <w:bottom w:w="0" w:type="dxa"/>
            <w:right w:w="108" w:type="dxa"/>
          </w:tblCellMar>
        </w:tblPrEx>
        <w:trPr>
          <w:trHeight w:val="70"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净利润</w:t>
            </w:r>
          </w:p>
        </w:tc>
        <w:tc>
          <w:tcPr>
            <w:tcW w:w="5335" w:type="dxa"/>
            <w:tcBorders>
              <w:top w:val="nil"/>
              <w:left w:val="nil"/>
              <w:bottom w:val="single" w:color="auto" w:sz="4" w:space="0"/>
              <w:right w:val="single" w:color="auto" w:sz="4" w:space="0"/>
            </w:tcBorders>
            <w:vAlign w:val="top"/>
          </w:tcPr>
          <w:p>
            <w:pPr>
              <w:jc w:val="center"/>
              <w:rPr>
                <w:rFonts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 xml:space="preserve"> 4154.32</w:t>
            </w:r>
          </w:p>
        </w:tc>
      </w:tr>
      <w:tr>
        <w:tblPrEx>
          <w:tblCellMar>
            <w:top w:w="0" w:type="dxa"/>
            <w:left w:w="108" w:type="dxa"/>
            <w:bottom w:w="0" w:type="dxa"/>
            <w:right w:w="108" w:type="dxa"/>
          </w:tblCellMar>
        </w:tblPrEx>
        <w:trPr>
          <w:trHeight w:val="90"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w:t>
            </w:r>
          </w:p>
        </w:tc>
        <w:tc>
          <w:tcPr>
            <w:tcW w:w="5335" w:type="dxa"/>
            <w:tcBorders>
              <w:top w:val="nil"/>
              <w:left w:val="nil"/>
              <w:bottom w:val="single" w:color="auto" w:sz="4" w:space="0"/>
              <w:right w:val="single" w:color="auto" w:sz="4" w:space="0"/>
            </w:tcBorders>
            <w:vAlign w:val="center"/>
          </w:tcPr>
          <w:p>
            <w:pPr>
              <w:widowControl/>
              <w:jc w:val="center"/>
              <w:rPr>
                <w:rFonts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41715.68</w:t>
            </w:r>
          </w:p>
        </w:tc>
      </w:tr>
      <w:tr>
        <w:tblPrEx>
          <w:tblCellMar>
            <w:top w:w="0" w:type="dxa"/>
            <w:left w:w="108" w:type="dxa"/>
            <w:bottom w:w="0" w:type="dxa"/>
            <w:right w:w="108" w:type="dxa"/>
          </w:tblCellMar>
        </w:tblPrEx>
        <w:trPr>
          <w:trHeight w:val="285"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利息收入</w:t>
            </w:r>
          </w:p>
        </w:tc>
        <w:tc>
          <w:tcPr>
            <w:tcW w:w="5335" w:type="dxa"/>
            <w:tcBorders>
              <w:top w:val="nil"/>
              <w:left w:val="nil"/>
              <w:bottom w:val="single" w:color="auto" w:sz="4" w:space="0"/>
              <w:right w:val="single" w:color="auto" w:sz="4" w:space="0"/>
            </w:tcBorders>
            <w:vAlign w:val="center"/>
          </w:tcPr>
          <w:p>
            <w:pPr>
              <w:widowControl/>
              <w:jc w:val="center"/>
              <w:rPr>
                <w:rFonts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 xml:space="preserve"> 33512.43</w:t>
            </w:r>
          </w:p>
        </w:tc>
      </w:tr>
      <w:tr>
        <w:tblPrEx>
          <w:tblCellMar>
            <w:top w:w="0" w:type="dxa"/>
            <w:left w:w="108" w:type="dxa"/>
            <w:bottom w:w="0" w:type="dxa"/>
            <w:right w:w="108" w:type="dxa"/>
          </w:tblCellMar>
        </w:tblPrEx>
        <w:trPr>
          <w:trHeight w:val="285"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营业外收支净额</w:t>
            </w:r>
          </w:p>
        </w:tc>
        <w:tc>
          <w:tcPr>
            <w:tcW w:w="5335"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53.05</w:t>
            </w:r>
          </w:p>
        </w:tc>
      </w:tr>
      <w:tr>
        <w:tblPrEx>
          <w:tblCellMar>
            <w:top w:w="0" w:type="dxa"/>
            <w:left w:w="108" w:type="dxa"/>
            <w:bottom w:w="0" w:type="dxa"/>
            <w:right w:w="108" w:type="dxa"/>
          </w:tblCellMar>
        </w:tblPrEx>
        <w:trPr>
          <w:trHeight w:val="285" w:hRule="atLeast"/>
        </w:trPr>
        <w:tc>
          <w:tcPr>
            <w:tcW w:w="316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经营活动产生的现金流量净额</w:t>
            </w:r>
          </w:p>
        </w:tc>
        <w:tc>
          <w:tcPr>
            <w:tcW w:w="5335" w:type="dxa"/>
            <w:tcBorders>
              <w:top w:val="nil"/>
              <w:left w:val="nil"/>
              <w:bottom w:val="single" w:color="auto" w:sz="4" w:space="0"/>
              <w:right w:val="single" w:color="auto" w:sz="4" w:space="0"/>
            </w:tcBorders>
            <w:vAlign w:val="center"/>
          </w:tcPr>
          <w:p>
            <w:pPr>
              <w:widowControl/>
              <w:jc w:val="center"/>
              <w:rPr>
                <w:rFonts w:hint="default" w:ascii="Arial" w:hAnsi="Arial" w:eastAsia="宋体" w:cs="Arial"/>
                <w:i w:val="0"/>
                <w:iCs w:val="0"/>
                <w:color w:val="auto"/>
                <w:kern w:val="2"/>
                <w:sz w:val="18"/>
                <w:szCs w:val="18"/>
                <w:highlight w:val="none"/>
                <w:u w:val="none"/>
                <w:lang w:val="en-US" w:eastAsia="zh-CN" w:bidi="ar-SA"/>
              </w:rPr>
            </w:pPr>
            <w:r>
              <w:rPr>
                <w:rFonts w:hint="eastAsia" w:ascii="宋体" w:hAnsi="宋体" w:cs="宋体"/>
                <w:color w:val="auto"/>
                <w:kern w:val="0"/>
                <w:sz w:val="18"/>
                <w:szCs w:val="18"/>
                <w:highlight w:val="none"/>
                <w:lang w:val="en-US" w:eastAsia="zh-CN"/>
              </w:rPr>
              <w:t xml:space="preserve"> 31541.92</w:t>
            </w:r>
          </w:p>
        </w:tc>
      </w:tr>
    </w:tbl>
    <w:p>
      <w:pPr>
        <w:autoSpaceDE w:val="0"/>
        <w:autoSpaceDN w:val="0"/>
        <w:adjustRightInd w:val="0"/>
        <w:jc w:val="left"/>
        <w:rPr>
          <w:rFonts w:hint="eastAsia" w:asciiTheme="minorEastAsia" w:hAnsiTheme="minorEastAsia" w:eastAsiaTheme="minorEastAsia" w:cstheme="minorEastAsia"/>
          <w:color w:val="auto"/>
          <w:kern w:val="0"/>
          <w:sz w:val="18"/>
          <w:szCs w:val="18"/>
          <w:highlight w:val="none"/>
        </w:rPr>
      </w:pPr>
    </w:p>
    <w:p>
      <w:pPr>
        <w:autoSpaceDE w:val="0"/>
        <w:autoSpaceDN w:val="0"/>
        <w:adjustRightInd w:val="0"/>
        <w:spacing w:line="360" w:lineRule="auto"/>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注：1.经营利润是指利润总额与当年计提资产减值损失之和</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2.利息收入包括贷款利息收入、金融往来利息收入和债券投资利息收入</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二、报告期主要会计数据和财务指标</w:t>
      </w:r>
    </w:p>
    <w:p>
      <w:pPr>
        <w:autoSpaceDE w:val="0"/>
        <w:autoSpaceDN w:val="0"/>
        <w:adjustRightInd w:val="0"/>
        <w:spacing w:line="360" w:lineRule="auto"/>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单位：人民币万元</w:t>
      </w:r>
    </w:p>
    <w:tbl>
      <w:tblPr>
        <w:tblStyle w:val="20"/>
        <w:tblW w:w="8493" w:type="dxa"/>
        <w:tblInd w:w="0" w:type="dxa"/>
        <w:tblLayout w:type="fixed"/>
        <w:tblCellMar>
          <w:top w:w="0" w:type="dxa"/>
          <w:left w:w="108" w:type="dxa"/>
          <w:bottom w:w="0" w:type="dxa"/>
          <w:right w:w="108" w:type="dxa"/>
        </w:tblCellMar>
      </w:tblPr>
      <w:tblGrid>
        <w:gridCol w:w="2229"/>
        <w:gridCol w:w="1695"/>
        <w:gridCol w:w="1545"/>
        <w:gridCol w:w="1515"/>
        <w:gridCol w:w="1509"/>
      </w:tblGrid>
      <w:tr>
        <w:tblPrEx>
          <w:tblCellMar>
            <w:top w:w="0" w:type="dxa"/>
            <w:left w:w="108" w:type="dxa"/>
            <w:bottom w:w="0" w:type="dxa"/>
            <w:right w:w="108" w:type="dxa"/>
          </w:tblCellMar>
        </w:tblPrEx>
        <w:trPr>
          <w:trHeight w:val="624" w:hRule="atLeast"/>
          <w:tblHeader/>
        </w:trPr>
        <w:tc>
          <w:tcPr>
            <w:tcW w:w="222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项目</w:t>
            </w:r>
          </w:p>
        </w:tc>
        <w:tc>
          <w:tcPr>
            <w:tcW w:w="16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本年数</w:t>
            </w:r>
          </w:p>
        </w:tc>
        <w:tc>
          <w:tcPr>
            <w:tcW w:w="154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上年数</w:t>
            </w:r>
          </w:p>
        </w:tc>
        <w:tc>
          <w:tcPr>
            <w:tcW w:w="151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比上年增减额</w:t>
            </w:r>
          </w:p>
        </w:tc>
        <w:tc>
          <w:tcPr>
            <w:tcW w:w="15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增减幅度（%）</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营业收入净额</w:t>
            </w:r>
          </w:p>
        </w:tc>
        <w:tc>
          <w:tcPr>
            <w:tcW w:w="1695" w:type="dxa"/>
            <w:tcBorders>
              <w:top w:val="single" w:color="auto" w:sz="4" w:space="0"/>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rPr>
              <w:t xml:space="preserve"> 31132</w:t>
            </w:r>
            <w:r>
              <w:rPr>
                <w:rFonts w:hint="eastAsia" w:asciiTheme="minorEastAsia" w:hAnsiTheme="minorEastAsia" w:eastAsiaTheme="minorEastAsia"/>
                <w:color w:val="auto"/>
                <w:sz w:val="18"/>
                <w:szCs w:val="18"/>
                <w:highlight w:val="none"/>
                <w:lang w:val="en-US" w:eastAsia="zh-CN"/>
              </w:rPr>
              <w:t>.</w:t>
            </w:r>
            <w:r>
              <w:rPr>
                <w:rFonts w:hint="eastAsia" w:asciiTheme="minorEastAsia" w:hAnsiTheme="minorEastAsia" w:eastAsiaTheme="minorEastAsia"/>
                <w:color w:val="auto"/>
                <w:sz w:val="18"/>
                <w:szCs w:val="18"/>
                <w:highlight w:val="none"/>
              </w:rPr>
              <w:t>20</w:t>
            </w:r>
          </w:p>
        </w:tc>
        <w:tc>
          <w:tcPr>
            <w:tcW w:w="1545" w:type="dxa"/>
            <w:tcBorders>
              <w:top w:val="single" w:color="auto" w:sz="4" w:space="0"/>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33430.46</w:t>
            </w:r>
          </w:p>
        </w:tc>
        <w:tc>
          <w:tcPr>
            <w:tcW w:w="151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-2298.26</w:t>
            </w:r>
          </w:p>
        </w:tc>
        <w:tc>
          <w:tcPr>
            <w:tcW w:w="15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-6.87%</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利润总额</w:t>
            </w:r>
          </w:p>
        </w:tc>
        <w:tc>
          <w:tcPr>
            <w:tcW w:w="169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lang w:val="en-US" w:eastAsia="zh-CN"/>
              </w:rPr>
              <w:t>17255</w:t>
            </w:r>
          </w:p>
        </w:tc>
        <w:tc>
          <w:tcPr>
            <w:tcW w:w="15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color w:val="auto"/>
                <w:kern w:val="0"/>
                <w:sz w:val="18"/>
                <w:szCs w:val="18"/>
                <w:highlight w:val="none"/>
              </w:rPr>
            </w:pPr>
            <w:r>
              <w:rPr>
                <w:rFonts w:hint="eastAsia" w:ascii="宋体" w:hAnsi="宋体" w:cs="宋体"/>
                <w:color w:val="auto"/>
                <w:kern w:val="0"/>
                <w:sz w:val="18"/>
                <w:szCs w:val="18"/>
                <w:highlight w:val="none"/>
                <w:lang w:val="en-US" w:eastAsia="zh-CN"/>
              </w:rPr>
              <w:t>3550.38</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13704.62</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386.00%</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净利润</w:t>
            </w:r>
          </w:p>
        </w:tc>
        <w:tc>
          <w:tcPr>
            <w:tcW w:w="169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lang w:val="en-US" w:eastAsia="zh-CN"/>
              </w:rPr>
              <w:t>4154.32</w:t>
            </w:r>
          </w:p>
        </w:tc>
        <w:tc>
          <w:tcPr>
            <w:tcW w:w="1545"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color w:val="auto"/>
                <w:kern w:val="0"/>
                <w:sz w:val="18"/>
                <w:szCs w:val="18"/>
                <w:highlight w:val="none"/>
              </w:rPr>
            </w:pPr>
            <w:r>
              <w:rPr>
                <w:rFonts w:hint="eastAsia" w:ascii="宋体" w:hAnsi="宋体" w:cs="宋体"/>
                <w:color w:val="auto"/>
                <w:kern w:val="0"/>
                <w:sz w:val="18"/>
                <w:szCs w:val="18"/>
                <w:highlight w:val="none"/>
                <w:lang w:val="en-US" w:eastAsia="zh-CN"/>
              </w:rPr>
              <w:t>3534.36</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619.96</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17.54%</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rPr>
              <w:t xml:space="preserve"> 1260411</w:t>
            </w:r>
            <w:r>
              <w:rPr>
                <w:rFonts w:hint="eastAsia" w:asciiTheme="minorEastAsia" w:hAnsiTheme="minorEastAsia" w:eastAsiaTheme="minorEastAsia"/>
                <w:color w:val="auto"/>
                <w:sz w:val="18"/>
                <w:szCs w:val="18"/>
                <w:highlight w:val="none"/>
                <w:lang w:val="en-US" w:eastAsia="zh-CN"/>
              </w:rPr>
              <w:t>.</w:t>
            </w:r>
            <w:r>
              <w:rPr>
                <w:rFonts w:hint="eastAsia" w:asciiTheme="minorEastAsia" w:hAnsiTheme="minorEastAsia" w:eastAsiaTheme="minorEastAsia"/>
                <w:color w:val="auto"/>
                <w:sz w:val="18"/>
                <w:szCs w:val="18"/>
                <w:highlight w:val="none"/>
              </w:rPr>
              <w:t>3</w:t>
            </w:r>
            <w:r>
              <w:rPr>
                <w:rFonts w:hint="eastAsia" w:asciiTheme="minorEastAsia" w:hAnsiTheme="minorEastAsia" w:eastAsiaTheme="minorEastAsia"/>
                <w:color w:val="auto"/>
                <w:sz w:val="18"/>
                <w:szCs w:val="18"/>
                <w:highlight w:val="none"/>
                <w:lang w:val="en-US" w:eastAsia="zh-CN"/>
              </w:rPr>
              <w:t>8</w:t>
            </w:r>
            <w:r>
              <w:rPr>
                <w:rFonts w:hint="eastAsia" w:asciiTheme="minorEastAsia" w:hAnsiTheme="minorEastAsia" w:eastAsiaTheme="minorEastAsia"/>
                <w:color w:val="auto"/>
                <w:sz w:val="18"/>
                <w:szCs w:val="18"/>
                <w:highlight w:val="none"/>
              </w:rPr>
              <w:t xml:space="preserve"> </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1212735.93</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47675.45</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3.93%</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负债总额</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rPr>
              <w:t xml:space="preserve"> 1189014</w:t>
            </w:r>
            <w:r>
              <w:rPr>
                <w:rFonts w:hint="eastAsia" w:asciiTheme="minorEastAsia" w:hAnsiTheme="minorEastAsia" w:eastAsiaTheme="minorEastAsia"/>
                <w:color w:val="auto"/>
                <w:sz w:val="18"/>
                <w:szCs w:val="18"/>
                <w:highlight w:val="none"/>
                <w:lang w:val="en-US" w:eastAsia="zh-CN"/>
              </w:rPr>
              <w:t>.</w:t>
            </w:r>
            <w:r>
              <w:rPr>
                <w:rFonts w:hint="eastAsia" w:asciiTheme="minorEastAsia" w:hAnsiTheme="minorEastAsia" w:eastAsiaTheme="minorEastAsia"/>
                <w:color w:val="auto"/>
                <w:sz w:val="18"/>
                <w:szCs w:val="18"/>
                <w:highlight w:val="none"/>
              </w:rPr>
              <w:t>3</w:t>
            </w:r>
            <w:r>
              <w:rPr>
                <w:rFonts w:hint="eastAsia" w:asciiTheme="minorEastAsia" w:hAnsiTheme="minorEastAsia" w:eastAsiaTheme="minorEastAsia"/>
                <w:color w:val="auto"/>
                <w:sz w:val="18"/>
                <w:szCs w:val="18"/>
                <w:highlight w:val="none"/>
                <w:lang w:val="en-US" w:eastAsia="zh-CN"/>
              </w:rPr>
              <w:t>2</w:t>
            </w:r>
            <w:r>
              <w:rPr>
                <w:rFonts w:hint="eastAsia" w:asciiTheme="minorEastAsia" w:hAnsiTheme="minorEastAsia" w:eastAsiaTheme="minorEastAsia"/>
                <w:color w:val="auto"/>
                <w:sz w:val="18"/>
                <w:szCs w:val="18"/>
                <w:highlight w:val="none"/>
              </w:rPr>
              <w:t xml:space="preserve"> </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1137129.16</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51885.16</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4.56%</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存款余额</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1139976.22</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rPr>
              <w:t>1093964.31</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46011.91</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4.21%</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贷款余额</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662491.42</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rPr>
              <w:t>628179.76</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34311.66</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5.46%</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所有者权益</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71397.06</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75606.77</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-4209.71</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-5.57%</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每股收益（元）</w:t>
            </w:r>
          </w:p>
        </w:tc>
        <w:tc>
          <w:tcPr>
            <w:tcW w:w="1695" w:type="dxa"/>
            <w:tcBorders>
              <w:top w:val="nil"/>
              <w:left w:val="nil"/>
              <w:bottom w:val="single" w:color="auto" w:sz="4" w:space="0"/>
              <w:right w:val="single" w:color="auto" w:sz="4" w:space="0"/>
            </w:tcBorders>
            <w:vAlign w:val="top"/>
          </w:tcPr>
          <w:p>
            <w:pPr>
              <w:jc w:val="center"/>
              <w:rPr>
                <w:rFonts w:hint="default" w:asciiTheme="minorEastAsia" w:hAnsiTheme="minorEastAsia" w:eastAsiaTheme="minorEastAsia"/>
                <w:color w:val="auto"/>
                <w:sz w:val="18"/>
                <w:szCs w:val="18"/>
                <w:highlight w:val="none"/>
                <w:lang w:val="en-US" w:eastAsia="zh-CN"/>
              </w:rPr>
            </w:pPr>
            <w:r>
              <w:rPr>
                <w:rFonts w:hint="eastAsia" w:asciiTheme="minorEastAsia" w:hAnsiTheme="minorEastAsia" w:eastAsiaTheme="minorEastAsia"/>
                <w:color w:val="auto"/>
                <w:sz w:val="18"/>
                <w:szCs w:val="18"/>
                <w:highlight w:val="none"/>
                <w:lang w:val="en-US" w:eastAsia="zh-CN"/>
              </w:rPr>
              <w:t>0.12</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0.09</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0.03</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33.33</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每股净资产（元）</w:t>
            </w:r>
          </w:p>
        </w:tc>
        <w:tc>
          <w:tcPr>
            <w:tcW w:w="1695" w:type="dxa"/>
            <w:tcBorders>
              <w:top w:val="nil"/>
              <w:left w:val="nil"/>
              <w:bottom w:val="single" w:color="auto" w:sz="4" w:space="0"/>
              <w:right w:val="single" w:color="auto" w:sz="4" w:space="0"/>
            </w:tcBorders>
            <w:vAlign w:val="top"/>
          </w:tcPr>
          <w:p>
            <w:pPr>
              <w:jc w:val="center"/>
              <w:rPr>
                <w:rFonts w:hint="default" w:asciiTheme="minorEastAsia" w:hAnsiTheme="minorEastAsia" w:eastAsiaTheme="minorEastAsia"/>
                <w:color w:val="auto"/>
                <w:sz w:val="18"/>
                <w:szCs w:val="18"/>
                <w:highlight w:val="none"/>
                <w:lang w:val="en-US" w:eastAsia="zh-CN"/>
              </w:rPr>
            </w:pPr>
            <w:r>
              <w:rPr>
                <w:rFonts w:hint="eastAsia" w:asciiTheme="minorEastAsia" w:hAnsiTheme="minorEastAsia" w:eastAsiaTheme="minorEastAsia"/>
                <w:color w:val="auto"/>
                <w:sz w:val="18"/>
                <w:szCs w:val="18"/>
                <w:highlight w:val="none"/>
                <w:lang w:val="en-US" w:eastAsia="zh-CN"/>
              </w:rPr>
              <w:t>1.88</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1.99</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0.11</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5.53</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资产利润率（%）</w:t>
            </w:r>
          </w:p>
        </w:tc>
        <w:tc>
          <w:tcPr>
            <w:tcW w:w="1695" w:type="dxa"/>
            <w:tcBorders>
              <w:top w:val="nil"/>
              <w:left w:val="nil"/>
              <w:bottom w:val="single" w:color="auto" w:sz="4" w:space="0"/>
              <w:right w:val="single" w:color="auto" w:sz="4" w:space="0"/>
            </w:tcBorders>
            <w:vAlign w:val="center"/>
          </w:tcPr>
          <w:p>
            <w:pPr>
              <w:widowControl/>
              <w:jc w:val="center"/>
              <w:textAlignment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0.34</w:t>
            </w:r>
          </w:p>
        </w:tc>
        <w:tc>
          <w:tcPr>
            <w:tcW w:w="1545" w:type="dxa"/>
            <w:tcBorders>
              <w:top w:val="nil"/>
              <w:left w:val="nil"/>
              <w:bottom w:val="single" w:color="auto" w:sz="4" w:space="0"/>
              <w:right w:val="single" w:color="auto" w:sz="4" w:space="0"/>
            </w:tcBorders>
            <w:vAlign w:val="center"/>
          </w:tcPr>
          <w:p>
            <w:pPr>
              <w:widowControl/>
              <w:jc w:val="center"/>
              <w:textAlignment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0.29</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0.05</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17.24%</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资本利润率（%）</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5.65</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4.53</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1.12</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24.72%</w:t>
            </w:r>
          </w:p>
        </w:tc>
      </w:tr>
      <w:tr>
        <w:tblPrEx>
          <w:tblCellMar>
            <w:top w:w="0" w:type="dxa"/>
            <w:left w:w="108" w:type="dxa"/>
            <w:bottom w:w="0" w:type="dxa"/>
            <w:right w:w="108" w:type="dxa"/>
          </w:tblCellMar>
        </w:tblPrEx>
        <w:trPr>
          <w:trHeight w:val="285" w:hRule="atLeast"/>
        </w:trPr>
        <w:tc>
          <w:tcPr>
            <w:tcW w:w="2229"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成本收入比（%）</w:t>
            </w:r>
          </w:p>
        </w:tc>
        <w:tc>
          <w:tcPr>
            <w:tcW w:w="169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44.08</w:t>
            </w:r>
          </w:p>
        </w:tc>
        <w:tc>
          <w:tcPr>
            <w:tcW w:w="1545" w:type="dxa"/>
            <w:tcBorders>
              <w:top w:val="nil"/>
              <w:left w:val="nil"/>
              <w:bottom w:val="single" w:color="auto" w:sz="4" w:space="0"/>
              <w:right w:val="single" w:color="auto" w:sz="4" w:space="0"/>
            </w:tcBorders>
            <w:vAlign w:val="top"/>
          </w:tcPr>
          <w:p>
            <w:pPr>
              <w:jc w:val="center"/>
              <w:rPr>
                <w:rFonts w:asciiTheme="minorEastAsia" w:hAnsiTheme="minorEastAsia" w:eastAsiaTheme="minorEastAsia"/>
                <w:color w:val="auto"/>
                <w:sz w:val="18"/>
                <w:szCs w:val="18"/>
                <w:highlight w:val="none"/>
              </w:rPr>
            </w:pPr>
            <w:r>
              <w:rPr>
                <w:rFonts w:hint="eastAsia" w:asciiTheme="minorEastAsia" w:hAnsiTheme="minorEastAsia" w:eastAsiaTheme="minorEastAsia"/>
                <w:color w:val="auto"/>
                <w:sz w:val="18"/>
                <w:szCs w:val="18"/>
                <w:highlight w:val="none"/>
                <w:lang w:val="en-US" w:eastAsia="zh-CN"/>
              </w:rPr>
              <w:t>43.40</w:t>
            </w:r>
          </w:p>
        </w:tc>
        <w:tc>
          <w:tcPr>
            <w:tcW w:w="15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0.68</w:t>
            </w:r>
          </w:p>
        </w:tc>
        <w:tc>
          <w:tcPr>
            <w:tcW w:w="1509"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cs="宋体" w:asciiTheme="minorEastAsia" w:hAnsiTheme="minorEastAsia" w:eastAsiaTheme="minorEastAsia"/>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1.57%</w:t>
            </w:r>
          </w:p>
        </w:tc>
      </w:tr>
    </w:tbl>
    <w:p>
      <w:pPr>
        <w:autoSpaceDE w:val="0"/>
        <w:autoSpaceDN w:val="0"/>
        <w:adjustRightInd w:val="0"/>
        <w:jc w:val="left"/>
        <w:rPr>
          <w:rFonts w:hint="eastAsia" w:asciiTheme="minorEastAsia" w:hAnsiTheme="minorEastAsia" w:eastAsiaTheme="minorEastAsia" w:cstheme="minorEastAsia"/>
          <w:color w:val="auto"/>
          <w:kern w:val="0"/>
          <w:sz w:val="22"/>
          <w:szCs w:val="18"/>
          <w:highlight w:val="none"/>
        </w:rPr>
      </w:pPr>
    </w:p>
    <w:p>
      <w:pPr>
        <w:autoSpaceDE w:val="0"/>
        <w:autoSpaceDN w:val="0"/>
        <w:adjustRightInd w:val="0"/>
        <w:spacing w:line="360" w:lineRule="auto"/>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注：1.资产利润率=净利润/[（期初总资产+期末总资产）/2]；</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2.资本利润率=净利润/[（期初所有者权益+期末所有者权益）/2]；</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3.成本收入比=（业务及管理费用+其他业务成本）/营业收入净额；</w:t>
      </w:r>
    </w:p>
    <w:p>
      <w:pPr>
        <w:autoSpaceDE w:val="0"/>
        <w:autoSpaceDN w:val="0"/>
        <w:adjustRightInd w:val="0"/>
        <w:spacing w:line="360" w:lineRule="auto"/>
        <w:ind w:firstLine="480" w:firstLineChars="200"/>
        <w:jc w:val="lef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4.其他指标根据中国银行业监管机构颁布的公式及依照监管口径计算。</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三、报告期主要业务信息及数据</w:t>
      </w:r>
    </w:p>
    <w:p>
      <w:pPr>
        <w:autoSpaceDE w:val="0"/>
        <w:autoSpaceDN w:val="0"/>
        <w:adjustRightInd w:val="0"/>
        <w:spacing w:line="360" w:lineRule="auto"/>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单位：人民币万元</w:t>
      </w:r>
    </w:p>
    <w:tbl>
      <w:tblPr>
        <w:tblStyle w:val="20"/>
        <w:tblW w:w="8492" w:type="dxa"/>
        <w:tblInd w:w="0" w:type="dxa"/>
        <w:tblLayout w:type="fixed"/>
        <w:tblCellMar>
          <w:top w:w="0" w:type="dxa"/>
          <w:left w:w="108" w:type="dxa"/>
          <w:bottom w:w="0" w:type="dxa"/>
          <w:right w:w="108" w:type="dxa"/>
        </w:tblCellMar>
      </w:tblPr>
      <w:tblGrid>
        <w:gridCol w:w="2346"/>
        <w:gridCol w:w="1788"/>
        <w:gridCol w:w="1530"/>
        <w:gridCol w:w="1380"/>
        <w:gridCol w:w="1448"/>
      </w:tblGrid>
      <w:tr>
        <w:tblPrEx>
          <w:tblCellMar>
            <w:top w:w="0" w:type="dxa"/>
            <w:left w:w="108" w:type="dxa"/>
            <w:bottom w:w="0" w:type="dxa"/>
            <w:right w:w="108" w:type="dxa"/>
          </w:tblCellMar>
        </w:tblPrEx>
        <w:trPr>
          <w:trHeight w:val="624" w:hRule="atLeast"/>
          <w:tblHeader/>
        </w:trPr>
        <w:tc>
          <w:tcPr>
            <w:tcW w:w="23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项目</w:t>
            </w:r>
          </w:p>
        </w:tc>
        <w:tc>
          <w:tcPr>
            <w:tcW w:w="17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本年数</w:t>
            </w:r>
          </w:p>
        </w:tc>
        <w:tc>
          <w:tcPr>
            <w:tcW w:w="153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上年数</w:t>
            </w:r>
          </w:p>
        </w:tc>
        <w:tc>
          <w:tcPr>
            <w:tcW w:w="13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比上年增减额</w:t>
            </w:r>
          </w:p>
        </w:tc>
        <w:tc>
          <w:tcPr>
            <w:tcW w:w="144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增减幅度（%）</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left"/>
              <w:rPr>
                <w:rFonts w:ascii="宋体" w:hAnsi="宋体" w:cs="宋体"/>
                <w:b/>
                <w:color w:val="auto"/>
                <w:kern w:val="0"/>
                <w:sz w:val="18"/>
                <w:szCs w:val="18"/>
                <w:highlight w:val="none"/>
              </w:rPr>
            </w:pPr>
            <w:r>
              <w:rPr>
                <w:rFonts w:hint="eastAsia" w:ascii="宋体" w:hAnsi="宋体"/>
                <w:b/>
                <w:color w:val="auto"/>
                <w:sz w:val="18"/>
                <w:szCs w:val="18"/>
                <w:highlight w:val="none"/>
              </w:rPr>
              <w:t>活期存款</w:t>
            </w:r>
          </w:p>
        </w:tc>
        <w:tc>
          <w:tcPr>
            <w:tcW w:w="1788" w:type="dxa"/>
            <w:tcBorders>
              <w:top w:val="single" w:color="auto" w:sz="4" w:space="0"/>
              <w:left w:val="nil"/>
              <w:bottom w:val="single" w:color="auto" w:sz="4" w:space="0"/>
              <w:right w:val="single" w:color="auto" w:sz="4" w:space="0"/>
            </w:tcBorders>
          </w:tcPr>
          <w:p>
            <w:pPr>
              <w:jc w:val="center"/>
              <w:rPr>
                <w:rFonts w:ascii="宋体" w:hAnsi="宋体"/>
                <w:color w:val="auto"/>
                <w:sz w:val="18"/>
                <w:szCs w:val="18"/>
                <w:highlight w:val="none"/>
              </w:rPr>
            </w:pPr>
          </w:p>
        </w:tc>
        <w:tc>
          <w:tcPr>
            <w:tcW w:w="1530" w:type="dxa"/>
            <w:tcBorders>
              <w:top w:val="single" w:color="auto" w:sz="4" w:space="0"/>
              <w:left w:val="nil"/>
              <w:bottom w:val="single" w:color="auto" w:sz="4" w:space="0"/>
              <w:right w:val="single" w:color="auto" w:sz="4" w:space="0"/>
            </w:tcBorders>
          </w:tcPr>
          <w:p>
            <w:pPr>
              <w:jc w:val="center"/>
              <w:rPr>
                <w:rFonts w:ascii="宋体" w:hAnsi="宋体"/>
                <w:color w:val="auto"/>
                <w:sz w:val="18"/>
                <w:szCs w:val="18"/>
                <w:highlight w:val="none"/>
              </w:rPr>
            </w:pPr>
          </w:p>
        </w:tc>
        <w:tc>
          <w:tcPr>
            <w:tcW w:w="1380" w:type="dxa"/>
            <w:tcBorders>
              <w:top w:val="single" w:color="auto" w:sz="4" w:space="0"/>
              <w:left w:val="nil"/>
              <w:bottom w:val="single" w:color="auto" w:sz="4" w:space="0"/>
              <w:right w:val="single" w:color="auto" w:sz="4" w:space="0"/>
            </w:tcBorders>
          </w:tcPr>
          <w:p>
            <w:pPr>
              <w:jc w:val="center"/>
              <w:rPr>
                <w:rFonts w:ascii="宋体" w:hAnsi="宋体"/>
                <w:color w:val="auto"/>
                <w:sz w:val="18"/>
                <w:szCs w:val="18"/>
                <w:highlight w:val="none"/>
              </w:rPr>
            </w:pPr>
          </w:p>
        </w:tc>
        <w:tc>
          <w:tcPr>
            <w:tcW w:w="1448" w:type="dxa"/>
            <w:tcBorders>
              <w:top w:val="single" w:color="auto" w:sz="4" w:space="0"/>
              <w:left w:val="nil"/>
              <w:bottom w:val="single" w:color="auto" w:sz="4" w:space="0"/>
              <w:right w:val="single" w:color="auto" w:sz="4" w:space="0"/>
            </w:tcBorders>
          </w:tcPr>
          <w:p>
            <w:pPr>
              <w:jc w:val="center"/>
              <w:rPr>
                <w:rFonts w:ascii="宋体" w:hAnsi="宋体"/>
                <w:color w:val="auto"/>
                <w:sz w:val="18"/>
                <w:szCs w:val="18"/>
                <w:highlight w:val="none"/>
              </w:rPr>
            </w:pP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公司客户</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89888.63</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87318.56</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-2570.07</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-2.94%</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个人客户</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380348.8</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389641</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9292.2</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2.38%</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小计</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470237.43</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476959.56</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6722.13</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1.41%</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left"/>
              <w:rPr>
                <w:rFonts w:ascii="宋体" w:hAnsi="宋体" w:cs="宋体"/>
                <w:color w:val="auto"/>
                <w:sz w:val="18"/>
                <w:szCs w:val="18"/>
                <w:highlight w:val="none"/>
              </w:rPr>
            </w:pPr>
            <w:r>
              <w:rPr>
                <w:rFonts w:hint="eastAsia" w:ascii="宋体" w:hAnsi="宋体"/>
                <w:b/>
                <w:color w:val="auto"/>
                <w:sz w:val="18"/>
                <w:szCs w:val="18"/>
                <w:highlight w:val="none"/>
              </w:rPr>
              <w:t>定期存款（含通知存款）</w:t>
            </w:r>
          </w:p>
        </w:tc>
        <w:tc>
          <w:tcPr>
            <w:tcW w:w="1788" w:type="dxa"/>
            <w:tcBorders>
              <w:top w:val="nil"/>
              <w:left w:val="nil"/>
              <w:bottom w:val="single" w:color="auto" w:sz="4" w:space="0"/>
              <w:right w:val="single" w:color="auto" w:sz="4" w:space="0"/>
            </w:tcBorders>
            <w:vAlign w:val="center"/>
          </w:tcPr>
          <w:p>
            <w:pPr>
              <w:jc w:val="center"/>
              <w:rPr>
                <w:rFonts w:ascii="宋体" w:hAnsi="宋体"/>
                <w:color w:val="auto"/>
                <w:sz w:val="18"/>
                <w:szCs w:val="18"/>
                <w:highlight w:val="none"/>
              </w:rPr>
            </w:pPr>
          </w:p>
        </w:tc>
        <w:tc>
          <w:tcPr>
            <w:tcW w:w="1530" w:type="dxa"/>
            <w:tcBorders>
              <w:top w:val="nil"/>
              <w:left w:val="nil"/>
              <w:bottom w:val="single" w:color="auto" w:sz="4" w:space="0"/>
              <w:right w:val="single" w:color="auto" w:sz="4" w:space="0"/>
            </w:tcBorders>
            <w:vAlign w:val="center"/>
          </w:tcPr>
          <w:p>
            <w:pPr>
              <w:jc w:val="center"/>
              <w:rPr>
                <w:rFonts w:ascii="宋体" w:hAnsi="宋体" w:eastAsia="宋体" w:cs="Times New Roman"/>
                <w:color w:val="auto"/>
                <w:kern w:val="2"/>
                <w:sz w:val="18"/>
                <w:szCs w:val="18"/>
                <w:highlight w:val="none"/>
                <w:lang w:val="en-US" w:eastAsia="zh-CN" w:bidi="ar-SA"/>
              </w:rPr>
            </w:pP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color w:val="auto"/>
                <w:sz w:val="18"/>
                <w:szCs w:val="18"/>
                <w:highlight w:val="none"/>
              </w:rPr>
            </w:pP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公司客户</w:t>
            </w:r>
          </w:p>
        </w:tc>
        <w:tc>
          <w:tcPr>
            <w:tcW w:w="178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326.93</w:t>
            </w:r>
          </w:p>
        </w:tc>
        <w:tc>
          <w:tcPr>
            <w:tcW w:w="153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292.23</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-34.7</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-11.87%</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个人客户</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668808.55</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615828.75</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-52979.8</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-8.60%</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小计</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669135.48</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616120.97</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-53014.51</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-8.60%</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rPr>
                <w:rFonts w:ascii="宋体" w:hAnsi="宋体" w:cs="宋体"/>
                <w:color w:val="auto"/>
                <w:sz w:val="18"/>
                <w:szCs w:val="18"/>
                <w:highlight w:val="none"/>
              </w:rPr>
            </w:pPr>
            <w:r>
              <w:rPr>
                <w:rFonts w:hint="eastAsia" w:ascii="宋体" w:hAnsi="宋体"/>
                <w:color w:val="auto"/>
                <w:sz w:val="18"/>
                <w:szCs w:val="18"/>
                <w:highlight w:val="none"/>
              </w:rPr>
              <w:t>保证金存款</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566.08</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803.22</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237.14</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29.52%</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rPr>
                <w:rFonts w:ascii="宋体" w:hAnsi="宋体" w:cs="宋体"/>
                <w:color w:val="auto"/>
                <w:sz w:val="18"/>
                <w:szCs w:val="18"/>
                <w:highlight w:val="none"/>
              </w:rPr>
            </w:pPr>
            <w:r>
              <w:rPr>
                <w:rFonts w:hint="eastAsia" w:ascii="宋体" w:hAnsi="宋体"/>
                <w:color w:val="auto"/>
                <w:sz w:val="18"/>
                <w:szCs w:val="18"/>
                <w:highlight w:val="none"/>
              </w:rPr>
              <w:t>结构性存款</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0</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0</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rPr>
                <w:rFonts w:ascii="宋体" w:hAnsi="宋体" w:cs="宋体"/>
                <w:color w:val="auto"/>
                <w:sz w:val="18"/>
                <w:szCs w:val="18"/>
                <w:highlight w:val="none"/>
              </w:rPr>
            </w:pPr>
            <w:r>
              <w:rPr>
                <w:rFonts w:hint="eastAsia" w:ascii="宋体" w:hAnsi="宋体"/>
                <w:color w:val="auto"/>
                <w:sz w:val="18"/>
                <w:szCs w:val="18"/>
                <w:highlight w:val="none"/>
              </w:rPr>
              <w:t>汇出及应解汇款</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37.23</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80.56</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43.33</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53.79%</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rPr>
                <w:rFonts w:ascii="宋体" w:hAnsi="宋体" w:cs="宋体"/>
                <w:color w:val="auto"/>
                <w:sz w:val="18"/>
                <w:szCs w:val="18"/>
                <w:highlight w:val="none"/>
              </w:rPr>
            </w:pPr>
            <w:r>
              <w:rPr>
                <w:rFonts w:hint="eastAsia" w:ascii="宋体" w:hAnsi="宋体"/>
                <w:color w:val="auto"/>
                <w:sz w:val="18"/>
                <w:szCs w:val="18"/>
                <w:highlight w:val="none"/>
              </w:rPr>
              <w:t>财政性存款</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0</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0"/>
                <w:sz w:val="18"/>
                <w:szCs w:val="18"/>
                <w:highlight w:val="none"/>
                <w:lang w:val="en-US" w:eastAsia="zh-CN" w:bidi="ar"/>
              </w:rPr>
            </w:pPr>
            <w:r>
              <w:rPr>
                <w:rFonts w:hint="eastAsia" w:ascii="宋体" w:hAnsi="宋体" w:cs="宋体"/>
                <w:i w:val="0"/>
                <w:iCs w:val="0"/>
                <w:color w:val="auto"/>
                <w:kern w:val="0"/>
                <w:sz w:val="18"/>
                <w:szCs w:val="18"/>
                <w:highlight w:val="none"/>
                <w:u w:val="none"/>
                <w:lang w:val="en-US" w:eastAsia="zh-CN" w:bidi="ar"/>
              </w:rPr>
              <w:t>0</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合计</w:t>
            </w:r>
          </w:p>
        </w:tc>
        <w:tc>
          <w:tcPr>
            <w:tcW w:w="1788"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1139976.22</w:t>
            </w:r>
          </w:p>
        </w:tc>
        <w:tc>
          <w:tcPr>
            <w:tcW w:w="1530" w:type="dxa"/>
            <w:tcBorders>
              <w:top w:val="nil"/>
              <w:left w:val="nil"/>
              <w:bottom w:val="single" w:color="auto" w:sz="4" w:space="0"/>
              <w:right w:val="single" w:color="auto" w:sz="4" w:space="0"/>
            </w:tcBorders>
            <w:vAlign w:val="top"/>
          </w:tcPr>
          <w:p>
            <w:pPr>
              <w:keepNext w:val="0"/>
              <w:keepLines w:val="0"/>
              <w:widowControl/>
              <w:suppressLineNumbers w:val="0"/>
              <w:jc w:val="center"/>
              <w:textAlignment w:val="top"/>
              <w:rPr>
                <w:rFonts w:hint="default" w:ascii="宋体" w:hAnsi="宋体"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1093964.31</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-46011.91</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-4.21%</w:t>
            </w:r>
          </w:p>
        </w:tc>
      </w:tr>
      <w:tr>
        <w:tblPrEx>
          <w:tblCellMar>
            <w:top w:w="0" w:type="dxa"/>
            <w:left w:w="108" w:type="dxa"/>
            <w:bottom w:w="0" w:type="dxa"/>
            <w:right w:w="108" w:type="dxa"/>
          </w:tblCellMar>
        </w:tblPrEx>
        <w:trPr>
          <w:trHeight w:val="285" w:hRule="atLeast"/>
        </w:trPr>
        <w:tc>
          <w:tcPr>
            <w:tcW w:w="2346" w:type="dxa"/>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18"/>
                <w:szCs w:val="18"/>
                <w:highlight w:val="none"/>
              </w:rPr>
            </w:pPr>
            <w:r>
              <w:rPr>
                <w:rFonts w:hint="eastAsia" w:ascii="宋体" w:hAnsi="宋体"/>
                <w:b/>
                <w:color w:val="auto"/>
                <w:sz w:val="18"/>
                <w:szCs w:val="18"/>
                <w:highlight w:val="none"/>
              </w:rPr>
              <w:t>贷款和垫款</w:t>
            </w:r>
          </w:p>
        </w:tc>
        <w:tc>
          <w:tcPr>
            <w:tcW w:w="1788" w:type="dxa"/>
            <w:tcBorders>
              <w:top w:val="nil"/>
              <w:left w:val="nil"/>
              <w:bottom w:val="single" w:color="auto" w:sz="4" w:space="0"/>
              <w:right w:val="single" w:color="auto" w:sz="4" w:space="0"/>
            </w:tcBorders>
            <w:vAlign w:val="center"/>
          </w:tcPr>
          <w:p>
            <w:pPr>
              <w:jc w:val="center"/>
              <w:rPr>
                <w:rFonts w:ascii="宋体" w:hAnsi="宋体"/>
                <w:color w:val="auto"/>
                <w:sz w:val="18"/>
                <w:szCs w:val="18"/>
                <w:highlight w:val="none"/>
              </w:rPr>
            </w:pPr>
          </w:p>
        </w:tc>
        <w:tc>
          <w:tcPr>
            <w:tcW w:w="1530" w:type="dxa"/>
            <w:tcBorders>
              <w:top w:val="nil"/>
              <w:left w:val="nil"/>
              <w:bottom w:val="single" w:color="auto" w:sz="4" w:space="0"/>
              <w:right w:val="single" w:color="auto" w:sz="4" w:space="0"/>
            </w:tcBorders>
            <w:vAlign w:val="center"/>
          </w:tcPr>
          <w:p>
            <w:pPr>
              <w:jc w:val="center"/>
              <w:rPr>
                <w:rFonts w:ascii="宋体" w:hAnsi="宋体" w:eastAsia="宋体" w:cs="Times New Roman"/>
                <w:color w:val="auto"/>
                <w:kern w:val="2"/>
                <w:sz w:val="18"/>
                <w:szCs w:val="18"/>
                <w:highlight w:val="none"/>
                <w:lang w:val="en-US" w:eastAsia="zh-CN" w:bidi="ar-SA"/>
              </w:rPr>
            </w:pPr>
          </w:p>
        </w:tc>
        <w:tc>
          <w:tcPr>
            <w:tcW w:w="1380" w:type="dxa"/>
            <w:tcBorders>
              <w:top w:val="nil"/>
              <w:left w:val="nil"/>
              <w:bottom w:val="single" w:color="auto" w:sz="4" w:space="0"/>
              <w:right w:val="single" w:color="auto" w:sz="4" w:space="0"/>
            </w:tcBorders>
            <w:vAlign w:val="center"/>
          </w:tcPr>
          <w:p>
            <w:pPr>
              <w:jc w:val="center"/>
              <w:rPr>
                <w:rFonts w:ascii="宋体" w:hAnsi="宋体" w:cs="宋体"/>
                <w:color w:val="auto"/>
                <w:sz w:val="18"/>
                <w:szCs w:val="18"/>
                <w:highlight w:val="none"/>
              </w:rPr>
            </w:pPr>
          </w:p>
        </w:tc>
        <w:tc>
          <w:tcPr>
            <w:tcW w:w="1448" w:type="dxa"/>
            <w:tcBorders>
              <w:top w:val="nil"/>
              <w:left w:val="nil"/>
              <w:bottom w:val="single" w:color="auto" w:sz="4" w:space="0"/>
              <w:right w:val="single" w:color="auto" w:sz="4" w:space="0"/>
            </w:tcBorders>
            <w:vAlign w:val="center"/>
          </w:tcPr>
          <w:p>
            <w:pPr>
              <w:jc w:val="center"/>
              <w:rPr>
                <w:rFonts w:ascii="宋体" w:hAnsi="宋体" w:cs="宋体"/>
                <w:color w:val="auto"/>
                <w:sz w:val="18"/>
                <w:szCs w:val="18"/>
                <w:highlight w:val="none"/>
              </w:rPr>
            </w:pPr>
          </w:p>
        </w:tc>
      </w:tr>
      <w:tr>
        <w:tblPrEx>
          <w:tblCellMar>
            <w:top w:w="0" w:type="dxa"/>
            <w:left w:w="108" w:type="dxa"/>
            <w:bottom w:w="0" w:type="dxa"/>
            <w:right w:w="108" w:type="dxa"/>
          </w:tblCellMar>
        </w:tblPrEx>
        <w:trPr>
          <w:trHeight w:val="354"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正常贷款小计：</w:t>
            </w:r>
          </w:p>
        </w:tc>
        <w:tc>
          <w:tcPr>
            <w:tcW w:w="1788" w:type="dxa"/>
            <w:tcBorders>
              <w:top w:val="nil"/>
              <w:left w:val="nil"/>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 xml:space="preserve">654810.85 </w:t>
            </w:r>
          </w:p>
        </w:tc>
        <w:tc>
          <w:tcPr>
            <w:tcW w:w="1530" w:type="dxa"/>
            <w:tcBorders>
              <w:top w:val="nil"/>
              <w:left w:val="nil"/>
              <w:bottom w:val="single" w:color="auto" w:sz="4" w:space="0"/>
              <w:right w:val="single" w:color="auto" w:sz="4" w:space="0"/>
            </w:tcBorders>
            <w:vAlign w:val="center"/>
          </w:tcPr>
          <w:p>
            <w:pPr>
              <w:jc w:val="center"/>
              <w:rPr>
                <w:rFonts w:hint="default"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622043.13</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32767.72</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5.27%</w:t>
            </w:r>
          </w:p>
        </w:tc>
      </w:tr>
      <w:tr>
        <w:tblPrEx>
          <w:tblCellMar>
            <w:top w:w="0" w:type="dxa"/>
            <w:left w:w="108" w:type="dxa"/>
            <w:bottom w:w="0" w:type="dxa"/>
            <w:right w:w="108" w:type="dxa"/>
          </w:tblCellMar>
        </w:tblPrEx>
        <w:trPr>
          <w:trHeight w:val="334"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正常</w:t>
            </w:r>
          </w:p>
        </w:tc>
        <w:tc>
          <w:tcPr>
            <w:tcW w:w="1788" w:type="dxa"/>
            <w:tcBorders>
              <w:top w:val="nil"/>
              <w:left w:val="nil"/>
              <w:bottom w:val="single" w:color="auto" w:sz="4" w:space="0"/>
              <w:right w:val="single" w:color="auto" w:sz="4" w:space="0"/>
            </w:tcBorders>
            <w:vAlign w:val="bottom"/>
          </w:tcPr>
          <w:p>
            <w:pPr>
              <w:jc w:val="center"/>
              <w:rPr>
                <w:rFonts w:ascii="宋体" w:hAnsi="宋体"/>
                <w:color w:val="auto"/>
                <w:sz w:val="18"/>
                <w:szCs w:val="18"/>
                <w:highlight w:val="none"/>
              </w:rPr>
            </w:pPr>
            <w:r>
              <w:rPr>
                <w:rFonts w:hint="eastAsia" w:ascii="宋体" w:hAnsi="宋体"/>
                <w:color w:val="auto"/>
                <w:sz w:val="18"/>
                <w:szCs w:val="18"/>
                <w:highlight w:val="none"/>
              </w:rPr>
              <w:t xml:space="preserve">611864.63 </w:t>
            </w:r>
          </w:p>
        </w:tc>
        <w:tc>
          <w:tcPr>
            <w:tcW w:w="1530" w:type="dxa"/>
            <w:tcBorders>
              <w:top w:val="nil"/>
              <w:left w:val="nil"/>
              <w:bottom w:val="single" w:color="auto" w:sz="4" w:space="0"/>
              <w:right w:val="single" w:color="auto" w:sz="4" w:space="0"/>
            </w:tcBorders>
            <w:vAlign w:val="bottom"/>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574321.52</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37543.11</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6.54%</w:t>
            </w:r>
          </w:p>
        </w:tc>
      </w:tr>
      <w:tr>
        <w:tblPrEx>
          <w:tblCellMar>
            <w:top w:w="0" w:type="dxa"/>
            <w:left w:w="108" w:type="dxa"/>
            <w:bottom w:w="0" w:type="dxa"/>
            <w:right w:w="108" w:type="dxa"/>
          </w:tblCellMar>
        </w:tblPrEx>
        <w:trPr>
          <w:trHeight w:val="334"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关注</w:t>
            </w:r>
          </w:p>
        </w:tc>
        <w:tc>
          <w:tcPr>
            <w:tcW w:w="1788" w:type="dxa"/>
            <w:tcBorders>
              <w:top w:val="nil"/>
              <w:left w:val="nil"/>
              <w:bottom w:val="single" w:color="auto" w:sz="4" w:space="0"/>
              <w:right w:val="single" w:color="auto" w:sz="4" w:space="0"/>
            </w:tcBorders>
            <w:vAlign w:val="bottom"/>
          </w:tcPr>
          <w:p>
            <w:pPr>
              <w:jc w:val="center"/>
              <w:rPr>
                <w:rFonts w:ascii="宋体" w:hAnsi="宋体"/>
                <w:color w:val="auto"/>
                <w:sz w:val="18"/>
                <w:szCs w:val="18"/>
                <w:highlight w:val="none"/>
              </w:rPr>
            </w:pPr>
            <w:r>
              <w:rPr>
                <w:rFonts w:hint="eastAsia" w:ascii="宋体" w:hAnsi="宋体"/>
                <w:color w:val="auto"/>
                <w:sz w:val="18"/>
                <w:szCs w:val="18"/>
                <w:highlight w:val="none"/>
              </w:rPr>
              <w:t xml:space="preserve">42946.22 </w:t>
            </w:r>
          </w:p>
        </w:tc>
        <w:tc>
          <w:tcPr>
            <w:tcW w:w="1530" w:type="dxa"/>
            <w:tcBorders>
              <w:top w:val="nil"/>
              <w:left w:val="nil"/>
              <w:bottom w:val="single" w:color="auto" w:sz="4" w:space="0"/>
              <w:right w:val="single" w:color="auto" w:sz="4" w:space="0"/>
            </w:tcBorders>
            <w:vAlign w:val="bottom"/>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47721.61</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-4775.39</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-10.01%</w:t>
            </w:r>
          </w:p>
        </w:tc>
      </w:tr>
      <w:tr>
        <w:tblPrEx>
          <w:tblCellMar>
            <w:top w:w="0" w:type="dxa"/>
            <w:left w:w="108" w:type="dxa"/>
            <w:bottom w:w="0" w:type="dxa"/>
            <w:right w:w="108" w:type="dxa"/>
          </w:tblCellMar>
        </w:tblPrEx>
        <w:trPr>
          <w:trHeight w:val="334"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不良贷款小计：</w:t>
            </w:r>
          </w:p>
        </w:tc>
        <w:tc>
          <w:tcPr>
            <w:tcW w:w="1788" w:type="dxa"/>
            <w:tcBorders>
              <w:top w:val="nil"/>
              <w:left w:val="nil"/>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 xml:space="preserve">7680.57 </w:t>
            </w:r>
          </w:p>
        </w:tc>
        <w:tc>
          <w:tcPr>
            <w:tcW w:w="1530" w:type="dxa"/>
            <w:tcBorders>
              <w:top w:val="nil"/>
              <w:left w:val="nil"/>
              <w:bottom w:val="single" w:color="auto" w:sz="4" w:space="0"/>
              <w:right w:val="single" w:color="auto" w:sz="4" w:space="0"/>
            </w:tcBorders>
            <w:vAlign w:val="center"/>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6136.63</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1543.94</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25.16%</w:t>
            </w:r>
          </w:p>
        </w:tc>
      </w:tr>
      <w:tr>
        <w:tblPrEx>
          <w:tblCellMar>
            <w:top w:w="0" w:type="dxa"/>
            <w:left w:w="108" w:type="dxa"/>
            <w:bottom w:w="0" w:type="dxa"/>
            <w:right w:w="108" w:type="dxa"/>
          </w:tblCellMar>
        </w:tblPrEx>
        <w:trPr>
          <w:trHeight w:val="287"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次级</w:t>
            </w:r>
          </w:p>
        </w:tc>
        <w:tc>
          <w:tcPr>
            <w:tcW w:w="1788" w:type="dxa"/>
            <w:tcBorders>
              <w:top w:val="nil"/>
              <w:left w:val="nil"/>
              <w:bottom w:val="single" w:color="auto" w:sz="4" w:space="0"/>
              <w:right w:val="single" w:color="auto" w:sz="4" w:space="0"/>
            </w:tcBorders>
            <w:vAlign w:val="bottom"/>
          </w:tcPr>
          <w:p>
            <w:pPr>
              <w:jc w:val="center"/>
              <w:rPr>
                <w:rFonts w:ascii="宋体" w:hAnsi="宋体"/>
                <w:color w:val="auto"/>
                <w:sz w:val="18"/>
                <w:szCs w:val="18"/>
                <w:highlight w:val="none"/>
              </w:rPr>
            </w:pPr>
            <w:r>
              <w:rPr>
                <w:rFonts w:hint="eastAsia" w:ascii="宋体" w:hAnsi="宋体"/>
                <w:color w:val="auto"/>
                <w:sz w:val="18"/>
                <w:szCs w:val="18"/>
                <w:highlight w:val="none"/>
              </w:rPr>
              <w:t xml:space="preserve">2032.32 </w:t>
            </w:r>
          </w:p>
        </w:tc>
        <w:tc>
          <w:tcPr>
            <w:tcW w:w="1530" w:type="dxa"/>
            <w:tcBorders>
              <w:top w:val="nil"/>
              <w:left w:val="nil"/>
              <w:bottom w:val="single" w:color="auto" w:sz="4" w:space="0"/>
              <w:right w:val="single" w:color="auto" w:sz="4" w:space="0"/>
            </w:tcBorders>
            <w:vAlign w:val="bottom"/>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2237.26</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-204.94</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-9.16%</w:t>
            </w:r>
          </w:p>
        </w:tc>
      </w:tr>
      <w:tr>
        <w:tblPrEx>
          <w:tblCellMar>
            <w:top w:w="0" w:type="dxa"/>
            <w:left w:w="108" w:type="dxa"/>
            <w:bottom w:w="0" w:type="dxa"/>
            <w:right w:w="108" w:type="dxa"/>
          </w:tblCellMar>
        </w:tblPrEx>
        <w:trPr>
          <w:trHeight w:val="267"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可疑</w:t>
            </w:r>
          </w:p>
        </w:tc>
        <w:tc>
          <w:tcPr>
            <w:tcW w:w="1788" w:type="dxa"/>
            <w:tcBorders>
              <w:top w:val="nil"/>
              <w:left w:val="nil"/>
              <w:bottom w:val="single" w:color="auto" w:sz="4" w:space="0"/>
              <w:right w:val="single" w:color="auto" w:sz="4" w:space="0"/>
            </w:tcBorders>
            <w:vAlign w:val="bottom"/>
          </w:tcPr>
          <w:p>
            <w:pPr>
              <w:jc w:val="center"/>
              <w:rPr>
                <w:rFonts w:ascii="宋体" w:hAnsi="宋体"/>
                <w:color w:val="auto"/>
                <w:sz w:val="18"/>
                <w:szCs w:val="18"/>
                <w:highlight w:val="none"/>
              </w:rPr>
            </w:pPr>
            <w:r>
              <w:rPr>
                <w:rFonts w:hint="eastAsia" w:ascii="宋体" w:hAnsi="宋体"/>
                <w:color w:val="auto"/>
                <w:sz w:val="18"/>
                <w:szCs w:val="18"/>
                <w:highlight w:val="none"/>
              </w:rPr>
              <w:t xml:space="preserve">3626.45 </w:t>
            </w:r>
          </w:p>
        </w:tc>
        <w:tc>
          <w:tcPr>
            <w:tcW w:w="1530" w:type="dxa"/>
            <w:tcBorders>
              <w:top w:val="nil"/>
              <w:left w:val="nil"/>
              <w:bottom w:val="single" w:color="auto" w:sz="4" w:space="0"/>
              <w:right w:val="single" w:color="auto" w:sz="4" w:space="0"/>
            </w:tcBorders>
            <w:vAlign w:val="bottom"/>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3898.97</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-272.52</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-6.99%</w:t>
            </w:r>
          </w:p>
        </w:tc>
      </w:tr>
      <w:tr>
        <w:tblPrEx>
          <w:tblCellMar>
            <w:top w:w="0" w:type="dxa"/>
            <w:left w:w="108" w:type="dxa"/>
            <w:bottom w:w="0" w:type="dxa"/>
            <w:right w:w="108" w:type="dxa"/>
          </w:tblCellMar>
        </w:tblPrEx>
        <w:trPr>
          <w:trHeight w:val="267"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损失</w:t>
            </w:r>
          </w:p>
        </w:tc>
        <w:tc>
          <w:tcPr>
            <w:tcW w:w="1788" w:type="dxa"/>
            <w:tcBorders>
              <w:top w:val="nil"/>
              <w:left w:val="nil"/>
              <w:bottom w:val="single" w:color="auto" w:sz="4" w:space="0"/>
              <w:right w:val="single" w:color="auto" w:sz="4" w:space="0"/>
            </w:tcBorders>
            <w:vAlign w:val="center"/>
          </w:tcPr>
          <w:p>
            <w:pPr>
              <w:jc w:val="center"/>
              <w:rPr>
                <w:rFonts w:hint="default" w:ascii="宋体" w:hAnsi="宋体" w:eastAsia="宋体"/>
                <w:color w:val="auto"/>
                <w:sz w:val="18"/>
                <w:szCs w:val="18"/>
                <w:highlight w:val="none"/>
                <w:lang w:val="en-US" w:eastAsia="zh-CN"/>
              </w:rPr>
            </w:pPr>
            <w:r>
              <w:rPr>
                <w:rFonts w:hint="default" w:ascii="宋体" w:hAnsi="宋体" w:eastAsia="宋体"/>
                <w:color w:val="auto"/>
                <w:sz w:val="18"/>
                <w:szCs w:val="18"/>
                <w:highlight w:val="none"/>
                <w:lang w:val="en-US" w:eastAsia="zh-CN"/>
              </w:rPr>
              <w:t xml:space="preserve">2021.80 </w:t>
            </w:r>
          </w:p>
        </w:tc>
        <w:tc>
          <w:tcPr>
            <w:tcW w:w="1530" w:type="dxa"/>
            <w:tcBorders>
              <w:top w:val="nil"/>
              <w:left w:val="nil"/>
              <w:bottom w:val="single" w:color="auto" w:sz="4" w:space="0"/>
              <w:right w:val="single" w:color="auto" w:sz="4" w:space="0"/>
            </w:tcBorders>
            <w:vAlign w:val="center"/>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lang w:val="en-US" w:eastAsia="zh-CN"/>
              </w:rPr>
              <w:t>0.40</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2021.4</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505350.00%</w:t>
            </w:r>
          </w:p>
        </w:tc>
      </w:tr>
      <w:tr>
        <w:tblPrEx>
          <w:tblCellMar>
            <w:top w:w="0" w:type="dxa"/>
            <w:left w:w="108" w:type="dxa"/>
            <w:bottom w:w="0" w:type="dxa"/>
            <w:right w:w="108" w:type="dxa"/>
          </w:tblCellMar>
        </w:tblPrEx>
        <w:trPr>
          <w:trHeight w:val="403" w:hRule="atLeast"/>
        </w:trPr>
        <w:tc>
          <w:tcPr>
            <w:tcW w:w="2346"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highlight w:val="none"/>
              </w:rPr>
            </w:pPr>
            <w:r>
              <w:rPr>
                <w:rFonts w:hint="eastAsia" w:ascii="宋体" w:hAnsi="宋体"/>
                <w:color w:val="auto"/>
                <w:sz w:val="18"/>
                <w:szCs w:val="18"/>
                <w:highlight w:val="none"/>
              </w:rPr>
              <w:t>发放贷款和垫款总额</w:t>
            </w:r>
          </w:p>
        </w:tc>
        <w:tc>
          <w:tcPr>
            <w:tcW w:w="1788" w:type="dxa"/>
            <w:tcBorders>
              <w:top w:val="nil"/>
              <w:left w:val="nil"/>
              <w:bottom w:val="single" w:color="auto" w:sz="4" w:space="0"/>
              <w:right w:val="single" w:color="auto" w:sz="4" w:space="0"/>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 xml:space="preserve">662491.42 </w:t>
            </w:r>
          </w:p>
        </w:tc>
        <w:tc>
          <w:tcPr>
            <w:tcW w:w="1530" w:type="dxa"/>
            <w:tcBorders>
              <w:top w:val="nil"/>
              <w:left w:val="nil"/>
              <w:bottom w:val="single" w:color="auto" w:sz="4" w:space="0"/>
              <w:right w:val="single" w:color="auto" w:sz="4" w:space="0"/>
            </w:tcBorders>
            <w:vAlign w:val="center"/>
          </w:tcPr>
          <w:p>
            <w:pPr>
              <w:jc w:val="center"/>
              <w:rPr>
                <w:rFonts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628179.76</w:t>
            </w:r>
          </w:p>
        </w:tc>
        <w:tc>
          <w:tcPr>
            <w:tcW w:w="1380"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34311.66</w:t>
            </w:r>
          </w:p>
        </w:tc>
        <w:tc>
          <w:tcPr>
            <w:tcW w:w="1448"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top"/>
              <w:rPr>
                <w:rFonts w:hint="default" w:ascii="宋体" w:hAnsi="宋体"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5.46%</w:t>
            </w:r>
          </w:p>
        </w:tc>
      </w:tr>
    </w:tbl>
    <w:p>
      <w:pPr>
        <w:tabs>
          <w:tab w:val="left" w:pos="1980"/>
          <w:tab w:val="left" w:pos="7426"/>
        </w:tabs>
        <w:spacing w:line="586" w:lineRule="exact"/>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四、报告期补充财务指标</w:t>
      </w:r>
    </w:p>
    <w:p>
      <w:pPr>
        <w:autoSpaceDE w:val="0"/>
        <w:autoSpaceDN w:val="0"/>
        <w:adjustRightInd w:val="0"/>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w:t>
      </w:r>
    </w:p>
    <w:tbl>
      <w:tblPr>
        <w:tblStyle w:val="20"/>
        <w:tblW w:w="8496" w:type="dxa"/>
        <w:tblInd w:w="0" w:type="dxa"/>
        <w:tblLayout w:type="fixed"/>
        <w:tblCellMar>
          <w:top w:w="0" w:type="dxa"/>
          <w:left w:w="108" w:type="dxa"/>
          <w:bottom w:w="0" w:type="dxa"/>
          <w:right w:w="108" w:type="dxa"/>
        </w:tblCellMar>
      </w:tblPr>
      <w:tblGrid>
        <w:gridCol w:w="3298"/>
        <w:gridCol w:w="1946"/>
        <w:gridCol w:w="3252"/>
      </w:tblGrid>
      <w:tr>
        <w:tblPrEx>
          <w:tblCellMar>
            <w:top w:w="0" w:type="dxa"/>
            <w:left w:w="108" w:type="dxa"/>
            <w:bottom w:w="0" w:type="dxa"/>
            <w:right w:w="108" w:type="dxa"/>
          </w:tblCellMar>
        </w:tblPrEx>
        <w:trPr>
          <w:trHeight w:val="624" w:hRule="atLeast"/>
        </w:trPr>
        <w:tc>
          <w:tcPr>
            <w:tcW w:w="329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项目</w:t>
            </w:r>
          </w:p>
        </w:tc>
        <w:tc>
          <w:tcPr>
            <w:tcW w:w="19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标准值</w:t>
            </w:r>
          </w:p>
        </w:tc>
        <w:tc>
          <w:tcPr>
            <w:tcW w:w="325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本年数</w:t>
            </w:r>
          </w:p>
        </w:tc>
      </w:tr>
      <w:tr>
        <w:tblPrEx>
          <w:tblCellMar>
            <w:top w:w="0" w:type="dxa"/>
            <w:left w:w="108" w:type="dxa"/>
            <w:bottom w:w="0" w:type="dxa"/>
            <w:right w:w="108" w:type="dxa"/>
          </w:tblCellMar>
        </w:tblPrEx>
        <w:trPr>
          <w:trHeight w:val="312" w:hRule="atLeast"/>
        </w:trPr>
        <w:tc>
          <w:tcPr>
            <w:tcW w:w="32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p>
        </w:tc>
        <w:tc>
          <w:tcPr>
            <w:tcW w:w="19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p>
        </w:tc>
        <w:tc>
          <w:tcPr>
            <w:tcW w:w="32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资本充足率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≥10.5%</w:t>
            </w:r>
          </w:p>
        </w:tc>
        <w:tc>
          <w:tcPr>
            <w:tcW w:w="3252" w:type="dxa"/>
            <w:tcBorders>
              <w:top w:val="nil"/>
              <w:left w:val="nil"/>
              <w:bottom w:val="single" w:color="auto" w:sz="4" w:space="0"/>
              <w:right w:val="single" w:color="auto" w:sz="4" w:space="0"/>
            </w:tcBorders>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12.91</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一级资本充足率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≥8.5%</w:t>
            </w:r>
          </w:p>
        </w:tc>
        <w:tc>
          <w:tcPr>
            <w:tcW w:w="3252" w:type="dxa"/>
            <w:tcBorders>
              <w:top w:val="nil"/>
              <w:left w:val="nil"/>
              <w:bottom w:val="single" w:color="auto" w:sz="4" w:space="0"/>
              <w:right w:val="single" w:color="auto" w:sz="4" w:space="0"/>
            </w:tcBorders>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11.77</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核心一级资本充足率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≥7.5%</w:t>
            </w:r>
          </w:p>
        </w:tc>
        <w:tc>
          <w:tcPr>
            <w:tcW w:w="3252" w:type="dxa"/>
            <w:tcBorders>
              <w:top w:val="nil"/>
              <w:left w:val="nil"/>
              <w:bottom w:val="single" w:color="auto" w:sz="4" w:space="0"/>
              <w:right w:val="single" w:color="auto" w:sz="4" w:space="0"/>
            </w:tcBorders>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11.77</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流动性比率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93.69</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流动性覆盖率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w:t>
            </w:r>
          </w:p>
        </w:tc>
        <w:tc>
          <w:tcPr>
            <w:tcW w:w="3252"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无</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存贷比</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≤75%</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55.13</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不良贷款比例</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1.16</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贷款拨备覆盖率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≥150%</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231.25</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贷款拨备率</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2.68</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单一最大客户贷款集中度</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8.94</w:t>
            </w:r>
          </w:p>
        </w:tc>
      </w:tr>
      <w:tr>
        <w:tblPrEx>
          <w:tblCellMar>
            <w:top w:w="0" w:type="dxa"/>
            <w:left w:w="108" w:type="dxa"/>
            <w:bottom w:w="0" w:type="dxa"/>
            <w:right w:w="108" w:type="dxa"/>
          </w:tblCellMar>
        </w:tblPrEx>
        <w:trPr>
          <w:trHeight w:val="285" w:hRule="atLeast"/>
        </w:trPr>
        <w:tc>
          <w:tcPr>
            <w:tcW w:w="3298"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单一最大集团客户贷款集中度</w:t>
            </w:r>
          </w:p>
        </w:tc>
        <w:tc>
          <w:tcPr>
            <w:tcW w:w="1946"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325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13.93</w:t>
            </w:r>
          </w:p>
        </w:tc>
      </w:tr>
    </w:tbl>
    <w:p>
      <w:pPr>
        <w:autoSpaceDE w:val="0"/>
        <w:autoSpaceDN w:val="0"/>
        <w:adjustRightInd w:val="0"/>
        <w:spacing w:line="360" w:lineRule="auto"/>
        <w:ind w:firstLine="480" w:firstLineChars="200"/>
        <w:jc w:val="left"/>
        <w:rPr>
          <w:rFonts w:ascii="仿宋_GB2312" w:eastAsia="仿宋_GB2312" w:cs="宋体"/>
          <w:color w:val="auto"/>
          <w:kern w:val="0"/>
          <w:sz w:val="18"/>
          <w:szCs w:val="18"/>
          <w:highlight w:val="none"/>
        </w:rPr>
      </w:pPr>
      <w:r>
        <w:rPr>
          <w:rFonts w:hint="eastAsia" w:ascii="仿宋_GB2312" w:hAnsi="仿宋_GB2312" w:eastAsia="仿宋_GB2312" w:cs="仿宋_GB2312"/>
          <w:color w:val="auto"/>
          <w:kern w:val="0"/>
          <w:sz w:val="24"/>
          <w:szCs w:val="24"/>
          <w:highlight w:val="none"/>
        </w:rPr>
        <w:t>注：上述指标根据中国银行业监管机构颁布的公式及依照监管口径计算。</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五、报告期资本构成情况</w:t>
      </w:r>
    </w:p>
    <w:p>
      <w:pPr>
        <w:autoSpaceDE w:val="0"/>
        <w:autoSpaceDN w:val="0"/>
        <w:adjustRightInd w:val="0"/>
        <w:spacing w:line="360" w:lineRule="auto"/>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单位：人民币万元、%</w:t>
      </w:r>
    </w:p>
    <w:tbl>
      <w:tblPr>
        <w:tblStyle w:val="20"/>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4"/>
        <w:gridCol w:w="3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项目</w:t>
            </w:r>
          </w:p>
        </w:tc>
        <w:tc>
          <w:tcPr>
            <w:tcW w:w="3662" w:type="dxa"/>
          </w:tcPr>
          <w:p>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本年数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资本净额</w:t>
            </w:r>
          </w:p>
        </w:tc>
        <w:tc>
          <w:tcPr>
            <w:tcW w:w="3662" w:type="dxa"/>
            <w:vAlign w:val="top"/>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78290.32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一级资本净额</w:t>
            </w:r>
          </w:p>
        </w:tc>
        <w:tc>
          <w:tcPr>
            <w:tcW w:w="3662"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71397.06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核心一级资本净额</w:t>
            </w:r>
          </w:p>
        </w:tc>
        <w:tc>
          <w:tcPr>
            <w:tcW w:w="3662" w:type="dxa"/>
            <w:vAlign w:val="center"/>
          </w:tcPr>
          <w:p>
            <w:pPr>
              <w:widowControl/>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71397.06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应用资本底线之后的风险加权资产总额</w:t>
            </w:r>
          </w:p>
        </w:tc>
        <w:tc>
          <w:tcPr>
            <w:tcW w:w="3662" w:type="dxa"/>
            <w:vAlign w:val="top"/>
          </w:tcPr>
          <w:p>
            <w:pPr>
              <w:widowControl/>
              <w:jc w:val="center"/>
              <w:rPr>
                <w:rFonts w:hint="default"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eastAsia="zh-CN"/>
              </w:rPr>
              <w:t xml:space="preserve">606640.47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资本充足率</w:t>
            </w:r>
          </w:p>
        </w:tc>
        <w:tc>
          <w:tcPr>
            <w:tcW w:w="3662" w:type="dxa"/>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一级资本充足率</w:t>
            </w:r>
          </w:p>
        </w:tc>
        <w:tc>
          <w:tcPr>
            <w:tcW w:w="3662" w:type="dxa"/>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834" w:type="dxa"/>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核心一级资本充足率</w:t>
            </w:r>
          </w:p>
        </w:tc>
        <w:tc>
          <w:tcPr>
            <w:tcW w:w="3662" w:type="dxa"/>
            <w:vAlign w:val="top"/>
          </w:tcPr>
          <w:p>
            <w:pPr>
              <w:widowControl/>
              <w:jc w:val="center"/>
              <w:rPr>
                <w:rFonts w:hint="default" w:ascii="宋体" w:hAnsi="宋体" w:cs="宋体"/>
                <w:color w:val="auto"/>
                <w:kern w:val="0"/>
                <w:sz w:val="18"/>
                <w:szCs w:val="18"/>
                <w:highlight w:val="none"/>
                <w:lang w:val="en-US"/>
              </w:rPr>
            </w:pPr>
            <w:r>
              <w:rPr>
                <w:rFonts w:hint="eastAsia" w:ascii="宋体" w:hAnsi="宋体" w:cs="宋体"/>
                <w:color w:val="auto"/>
                <w:kern w:val="0"/>
                <w:sz w:val="18"/>
                <w:szCs w:val="18"/>
                <w:highlight w:val="none"/>
                <w:lang w:val="en-US" w:eastAsia="zh-CN"/>
              </w:rPr>
              <w:t>11.77</w:t>
            </w:r>
          </w:p>
        </w:tc>
      </w:tr>
    </w:tbl>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六、报告期所有者权益变动情况</w:t>
      </w:r>
    </w:p>
    <w:p>
      <w:pPr>
        <w:autoSpaceDE w:val="0"/>
        <w:autoSpaceDN w:val="0"/>
        <w:adjustRightInd w:val="0"/>
        <w:spacing w:line="360" w:lineRule="auto"/>
        <w:jc w:val="center"/>
        <w:rPr>
          <w:rFonts w:hint="eastAsia" w:ascii="仿宋_GB2312" w:hAnsi="仿宋_GB2312" w:eastAsia="仿宋_GB2312" w:cs="仿宋_GB2312"/>
          <w:color w:val="auto"/>
          <w:kern w:val="0"/>
          <w:sz w:val="24"/>
          <w:szCs w:val="24"/>
          <w:highlight w:val="none"/>
        </w:rPr>
      </w:pPr>
      <w:r>
        <w:rPr>
          <w:rFonts w:hint="eastAsia" w:ascii="宋体" w:cs="宋体"/>
          <w:color w:val="auto"/>
          <w:kern w:val="0"/>
          <w:sz w:val="22"/>
          <w:szCs w:val="22"/>
          <w:highlight w:val="none"/>
          <w:lang w:val="en-US" w:eastAsia="zh-CN"/>
        </w:rPr>
        <w:t xml:space="preserve">                                                          </w:t>
      </w:r>
      <w:r>
        <w:rPr>
          <w:rFonts w:hint="eastAsia" w:ascii="仿宋_GB2312" w:hAnsi="仿宋_GB2312" w:eastAsia="仿宋_GB2312" w:cs="仿宋_GB2312"/>
          <w:color w:val="auto"/>
          <w:kern w:val="0"/>
          <w:sz w:val="24"/>
          <w:szCs w:val="24"/>
          <w:highlight w:val="none"/>
        </w:rPr>
        <w:t>单位：人民币万元</w:t>
      </w:r>
    </w:p>
    <w:tbl>
      <w:tblPr>
        <w:tblStyle w:val="20"/>
        <w:tblW w:w="8487" w:type="dxa"/>
        <w:tblInd w:w="0" w:type="dxa"/>
        <w:tblLayout w:type="fixed"/>
        <w:tblCellMar>
          <w:top w:w="0" w:type="dxa"/>
          <w:left w:w="0" w:type="dxa"/>
          <w:bottom w:w="0" w:type="dxa"/>
          <w:right w:w="0" w:type="dxa"/>
        </w:tblCellMar>
      </w:tblPr>
      <w:tblGrid>
        <w:gridCol w:w="956"/>
        <w:gridCol w:w="984"/>
        <w:gridCol w:w="922"/>
        <w:gridCol w:w="922"/>
        <w:gridCol w:w="1172"/>
        <w:gridCol w:w="1000"/>
        <w:gridCol w:w="1141"/>
        <w:gridCol w:w="1390"/>
      </w:tblGrid>
      <w:tr>
        <w:tblPrEx>
          <w:tblCellMar>
            <w:top w:w="0" w:type="dxa"/>
            <w:left w:w="0" w:type="dxa"/>
            <w:bottom w:w="0" w:type="dxa"/>
            <w:right w:w="0" w:type="dxa"/>
          </w:tblCellMar>
        </w:tblPrEx>
        <w:trPr>
          <w:trHeight w:val="580" w:hRule="atLeast"/>
        </w:trPr>
        <w:tc>
          <w:tcPr>
            <w:tcW w:w="9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项目</w:t>
            </w:r>
          </w:p>
        </w:tc>
        <w:tc>
          <w:tcPr>
            <w:tcW w:w="9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实收资本</w:t>
            </w:r>
          </w:p>
        </w:tc>
        <w:tc>
          <w:tcPr>
            <w:tcW w:w="92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资本公积</w:t>
            </w:r>
          </w:p>
        </w:tc>
        <w:tc>
          <w:tcPr>
            <w:tcW w:w="92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盈余公积</w:t>
            </w:r>
          </w:p>
        </w:tc>
        <w:tc>
          <w:tcPr>
            <w:tcW w:w="117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其他综合收益</w:t>
            </w:r>
          </w:p>
        </w:tc>
        <w:tc>
          <w:tcPr>
            <w:tcW w:w="10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一般准备</w:t>
            </w:r>
          </w:p>
        </w:tc>
        <w:tc>
          <w:tcPr>
            <w:tcW w:w="114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未分配利润</w:t>
            </w:r>
          </w:p>
        </w:tc>
        <w:tc>
          <w:tcPr>
            <w:tcW w:w="139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color w:val="auto"/>
                <w:sz w:val="18"/>
                <w:szCs w:val="18"/>
                <w:highlight w:val="none"/>
              </w:rPr>
            </w:pPr>
            <w:r>
              <w:rPr>
                <w:rFonts w:hint="eastAsia" w:ascii="宋体" w:hAnsi="宋体"/>
                <w:b/>
                <w:color w:val="auto"/>
                <w:sz w:val="18"/>
                <w:szCs w:val="18"/>
                <w:highlight w:val="none"/>
              </w:rPr>
              <w:t>所有者权益合计</w:t>
            </w:r>
          </w:p>
        </w:tc>
      </w:tr>
      <w:tr>
        <w:tblPrEx>
          <w:tblCellMar>
            <w:top w:w="0" w:type="dxa"/>
            <w:left w:w="0" w:type="dxa"/>
            <w:bottom w:w="0" w:type="dxa"/>
            <w:right w:w="0" w:type="dxa"/>
          </w:tblCellMar>
        </w:tblPrEx>
        <w:trPr>
          <w:trHeight w:val="285" w:hRule="atLeast"/>
        </w:trPr>
        <w:tc>
          <w:tcPr>
            <w:tcW w:w="95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val="0"/>
                <w:bCs/>
                <w:color w:val="auto"/>
                <w:sz w:val="18"/>
                <w:szCs w:val="18"/>
                <w:highlight w:val="none"/>
              </w:rPr>
            </w:pPr>
            <w:r>
              <w:rPr>
                <w:rFonts w:hint="eastAsia" w:ascii="宋体" w:hAnsi="宋体"/>
                <w:b w:val="0"/>
                <w:bCs/>
                <w:color w:val="auto"/>
                <w:sz w:val="18"/>
                <w:szCs w:val="18"/>
                <w:highlight w:val="none"/>
              </w:rPr>
              <w:t>期初数</w:t>
            </w:r>
          </w:p>
        </w:tc>
        <w:tc>
          <w:tcPr>
            <w:tcW w:w="9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rPr>
              <w:t>37976.96</w:t>
            </w:r>
          </w:p>
        </w:tc>
        <w:tc>
          <w:tcPr>
            <w:tcW w:w="92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 xml:space="preserve"> 4022.22</w:t>
            </w:r>
          </w:p>
        </w:tc>
        <w:tc>
          <w:tcPr>
            <w:tcW w:w="92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bidi="ar-SA"/>
              </w:rPr>
              <w:t>6303.26</w:t>
            </w:r>
          </w:p>
        </w:tc>
        <w:tc>
          <w:tcPr>
            <w:tcW w:w="117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 xml:space="preserve"> 2494</w:t>
            </w:r>
          </w:p>
        </w:tc>
        <w:tc>
          <w:tcPr>
            <w:tcW w:w="10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rPr>
              <w:t>21607.32</w:t>
            </w:r>
          </w:p>
        </w:tc>
        <w:tc>
          <w:tcPr>
            <w:tcW w:w="114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ind w:right="90" w:rightChars="0"/>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3181.48</w:t>
            </w:r>
          </w:p>
        </w:tc>
        <w:tc>
          <w:tcPr>
            <w:tcW w:w="139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75606.77</w:t>
            </w:r>
          </w:p>
        </w:tc>
      </w:tr>
      <w:tr>
        <w:tblPrEx>
          <w:tblCellMar>
            <w:top w:w="0" w:type="dxa"/>
            <w:left w:w="0" w:type="dxa"/>
            <w:bottom w:w="0" w:type="dxa"/>
            <w:right w:w="0" w:type="dxa"/>
          </w:tblCellMar>
        </w:tblPrEx>
        <w:trPr>
          <w:trHeight w:val="285" w:hRule="atLeast"/>
        </w:trPr>
        <w:tc>
          <w:tcPr>
            <w:tcW w:w="956"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val="0"/>
                <w:bCs/>
                <w:color w:val="auto"/>
                <w:sz w:val="18"/>
                <w:szCs w:val="18"/>
                <w:highlight w:val="none"/>
              </w:rPr>
            </w:pPr>
            <w:r>
              <w:rPr>
                <w:rFonts w:hint="eastAsia" w:ascii="宋体" w:hAnsi="宋体"/>
                <w:b w:val="0"/>
                <w:bCs/>
                <w:color w:val="auto"/>
                <w:sz w:val="18"/>
                <w:szCs w:val="18"/>
                <w:highlight w:val="none"/>
              </w:rPr>
              <w:t>本期增加</w:t>
            </w:r>
          </w:p>
        </w:tc>
        <w:tc>
          <w:tcPr>
            <w:tcW w:w="984"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 xml:space="preserve"> 83.13</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415.43</w:t>
            </w:r>
          </w:p>
        </w:tc>
        <w:tc>
          <w:tcPr>
            <w:tcW w:w="117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rPr>
            </w:pPr>
          </w:p>
        </w:tc>
        <w:tc>
          <w:tcPr>
            <w:tcW w:w="10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w:t>
            </w:r>
          </w:p>
        </w:tc>
        <w:tc>
          <w:tcPr>
            <w:tcW w:w="1141"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ind w:right="90" w:rightChars="0"/>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4154.32</w:t>
            </w:r>
          </w:p>
        </w:tc>
        <w:tc>
          <w:tcPr>
            <w:tcW w:w="1390"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83.13</w:t>
            </w:r>
          </w:p>
        </w:tc>
      </w:tr>
      <w:tr>
        <w:tblPrEx>
          <w:tblCellMar>
            <w:top w:w="0" w:type="dxa"/>
            <w:left w:w="0" w:type="dxa"/>
            <w:bottom w:w="0" w:type="dxa"/>
            <w:right w:w="0" w:type="dxa"/>
          </w:tblCellMar>
        </w:tblPrEx>
        <w:trPr>
          <w:trHeight w:val="285" w:hRule="atLeast"/>
        </w:trPr>
        <w:tc>
          <w:tcPr>
            <w:tcW w:w="956"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val="0"/>
                <w:bCs/>
                <w:color w:val="auto"/>
                <w:sz w:val="18"/>
                <w:szCs w:val="18"/>
                <w:highlight w:val="none"/>
              </w:rPr>
            </w:pPr>
            <w:r>
              <w:rPr>
                <w:rFonts w:hint="eastAsia" w:ascii="宋体" w:hAnsi="宋体"/>
                <w:b w:val="0"/>
                <w:bCs/>
                <w:color w:val="auto"/>
                <w:sz w:val="18"/>
                <w:szCs w:val="18"/>
                <w:highlight w:val="none"/>
              </w:rPr>
              <w:t>本期减少</w:t>
            </w:r>
          </w:p>
        </w:tc>
        <w:tc>
          <w:tcPr>
            <w:tcW w:w="984"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lang w:val="en-US" w:eastAsia="zh-CN"/>
              </w:rPr>
              <w:t>-</w:t>
            </w:r>
          </w:p>
        </w:tc>
        <w:tc>
          <w:tcPr>
            <w:tcW w:w="117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lang w:val="en-US" w:eastAsia="zh-CN"/>
              </w:rPr>
              <w:t>5396.4</w:t>
            </w:r>
          </w:p>
        </w:tc>
        <w:tc>
          <w:tcPr>
            <w:tcW w:w="10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w:t>
            </w:r>
          </w:p>
        </w:tc>
        <w:tc>
          <w:tcPr>
            <w:tcW w:w="1141"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ind w:right="90" w:rightChars="0"/>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3444.67</w:t>
            </w:r>
          </w:p>
        </w:tc>
        <w:tc>
          <w:tcPr>
            <w:tcW w:w="1390"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rPr>
            </w:pPr>
            <w:r>
              <w:rPr>
                <w:rFonts w:hint="eastAsia" w:ascii="宋体" w:hAnsi="宋体" w:cs="宋体"/>
                <w:color w:val="auto"/>
                <w:kern w:val="0"/>
                <w:sz w:val="18"/>
                <w:szCs w:val="18"/>
                <w:highlight w:val="none"/>
                <w:lang w:val="en-US" w:eastAsia="zh-CN"/>
              </w:rPr>
              <w:t>4292.84</w:t>
            </w:r>
          </w:p>
        </w:tc>
      </w:tr>
      <w:tr>
        <w:tblPrEx>
          <w:tblCellMar>
            <w:top w:w="0" w:type="dxa"/>
            <w:left w:w="0" w:type="dxa"/>
            <w:bottom w:w="0" w:type="dxa"/>
            <w:right w:w="0" w:type="dxa"/>
          </w:tblCellMar>
        </w:tblPrEx>
        <w:trPr>
          <w:trHeight w:val="285" w:hRule="atLeast"/>
        </w:trPr>
        <w:tc>
          <w:tcPr>
            <w:tcW w:w="956"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b w:val="0"/>
                <w:bCs/>
                <w:color w:val="auto"/>
                <w:sz w:val="18"/>
                <w:szCs w:val="18"/>
                <w:highlight w:val="none"/>
              </w:rPr>
            </w:pPr>
            <w:r>
              <w:rPr>
                <w:rFonts w:hint="eastAsia" w:ascii="宋体" w:hAnsi="宋体"/>
                <w:b w:val="0"/>
                <w:bCs/>
                <w:color w:val="auto"/>
                <w:sz w:val="18"/>
                <w:szCs w:val="18"/>
                <w:highlight w:val="none"/>
              </w:rPr>
              <w:t>期末数</w:t>
            </w:r>
          </w:p>
        </w:tc>
        <w:tc>
          <w:tcPr>
            <w:tcW w:w="984"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eastAsia" w:ascii="宋体" w:hAnsi="宋体"/>
                <w:b w:val="0"/>
                <w:bCs/>
                <w:color w:val="auto"/>
                <w:sz w:val="18"/>
                <w:szCs w:val="18"/>
                <w:highlight w:val="none"/>
              </w:rPr>
            </w:pPr>
            <w:r>
              <w:rPr>
                <w:rFonts w:hint="eastAsia" w:ascii="宋体" w:hAnsi="宋体" w:cs="宋体"/>
                <w:color w:val="auto"/>
                <w:kern w:val="0"/>
                <w:sz w:val="18"/>
                <w:szCs w:val="18"/>
                <w:highlight w:val="none"/>
              </w:rPr>
              <w:t>37976.96</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 xml:space="preserve"> 4105.35</w:t>
            </w:r>
          </w:p>
        </w:tc>
        <w:tc>
          <w:tcPr>
            <w:tcW w:w="922"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6718.69</w:t>
            </w:r>
          </w:p>
        </w:tc>
        <w:tc>
          <w:tcPr>
            <w:tcW w:w="117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-2902.40</w:t>
            </w:r>
          </w:p>
        </w:tc>
        <w:tc>
          <w:tcPr>
            <w:tcW w:w="100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21607.32</w:t>
            </w:r>
          </w:p>
        </w:tc>
        <w:tc>
          <w:tcPr>
            <w:tcW w:w="1141"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ind w:right="90" w:rightChars="0"/>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3891.13</w:t>
            </w:r>
          </w:p>
        </w:tc>
        <w:tc>
          <w:tcPr>
            <w:tcW w:w="1390" w:type="dxa"/>
            <w:tcBorders>
              <w:top w:val="nil"/>
              <w:left w:val="nil"/>
              <w:bottom w:val="single" w:color="auto" w:sz="4" w:space="0"/>
              <w:right w:val="single" w:color="auto" w:sz="4" w:space="0"/>
            </w:tcBorders>
            <w:tcMar>
              <w:top w:w="15" w:type="dxa"/>
              <w:left w:w="15" w:type="dxa"/>
              <w:bottom w:w="0" w:type="dxa"/>
              <w:right w:w="15" w:type="dxa"/>
            </w:tcMar>
            <w:vAlign w:val="center"/>
          </w:tcPr>
          <w:p>
            <w:pPr>
              <w:widowControl/>
              <w:jc w:val="center"/>
              <w:rPr>
                <w:rFonts w:hint="default" w:ascii="宋体" w:hAnsi="宋体"/>
                <w:b w:val="0"/>
                <w:bCs/>
                <w:color w:val="auto"/>
                <w:sz w:val="18"/>
                <w:szCs w:val="18"/>
                <w:highlight w:val="none"/>
                <w:lang w:val="en-US" w:eastAsia="zh-CN"/>
              </w:rPr>
            </w:pPr>
            <w:r>
              <w:rPr>
                <w:rFonts w:hint="eastAsia" w:ascii="宋体" w:hAnsi="宋体" w:cs="宋体"/>
                <w:color w:val="auto"/>
                <w:kern w:val="0"/>
                <w:sz w:val="18"/>
                <w:szCs w:val="18"/>
                <w:highlight w:val="none"/>
                <w:lang w:val="en-US" w:eastAsia="zh-CN"/>
              </w:rPr>
              <w:t>71397.06</w:t>
            </w:r>
          </w:p>
        </w:tc>
      </w:tr>
    </w:tbl>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eastAsia="黑体" w:cs="Times New Roman"/>
          <w:sz w:val="32"/>
          <w:szCs w:val="32"/>
          <w:highlight w:val="none"/>
          <w:lang w:val="en-US" w:eastAsia="zh-CN"/>
        </w:rPr>
        <w:t>七、</w:t>
      </w:r>
      <w:r>
        <w:rPr>
          <w:rFonts w:hint="eastAsia" w:ascii="黑体" w:hAnsi="Times New Roman" w:eastAsia="黑体" w:cs="Times New Roman"/>
          <w:sz w:val="32"/>
          <w:szCs w:val="32"/>
          <w:highlight w:val="none"/>
          <w:lang w:val="en-US" w:eastAsia="zh-CN"/>
        </w:rPr>
        <w:t>绩效考核指标完成</w:t>
      </w:r>
      <w:r>
        <w:rPr>
          <w:rFonts w:hint="eastAsia" w:ascii="黑体" w:hAnsi="Times New Roman" w:eastAsia="黑体" w:cs="Times New Roman"/>
          <w:sz w:val="32"/>
          <w:szCs w:val="32"/>
          <w:highlight w:val="none"/>
        </w:rPr>
        <w:t>情况</w:t>
      </w:r>
    </w:p>
    <w:tbl>
      <w:tblPr>
        <w:tblStyle w:val="20"/>
        <w:tblpPr w:leftFromText="180" w:rightFromText="180" w:vertAnchor="text" w:horzAnchor="page" w:tblpXSpec="center" w:tblpY="303"/>
        <w:tblOverlap w:val="never"/>
        <w:tblW w:w="85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7"/>
        <w:gridCol w:w="2750"/>
        <w:gridCol w:w="1475"/>
        <w:gridCol w:w="1425"/>
        <w:gridCol w:w="1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监管类别</w:t>
            </w: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指标类型</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标准分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最高分</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完成得分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社会责任类</w:t>
            </w:r>
            <w:r>
              <w:rPr>
                <w:rFonts w:hint="eastAsia" w:ascii="宋体" w:hAnsi="宋体" w:eastAsia="宋体" w:cs="宋体"/>
                <w:b w:val="0"/>
                <w:bCs w:val="0"/>
                <w:i w:val="0"/>
                <w:iCs w:val="0"/>
                <w:color w:val="auto"/>
                <w:kern w:val="0"/>
                <w:sz w:val="18"/>
                <w:szCs w:val="18"/>
                <w:highlight w:val="none"/>
                <w:u w:val="none"/>
                <w:lang w:val="en-US" w:eastAsia="zh-CN" w:bidi="ar"/>
              </w:rPr>
              <w:br w:type="textWrapping"/>
            </w:r>
            <w:r>
              <w:rPr>
                <w:rFonts w:hint="eastAsia" w:ascii="宋体" w:hAnsi="宋体" w:eastAsia="宋体" w:cs="宋体"/>
                <w:b w:val="0"/>
                <w:bCs w:val="0"/>
                <w:i w:val="0"/>
                <w:iCs w:val="0"/>
                <w:color w:val="auto"/>
                <w:kern w:val="0"/>
                <w:sz w:val="18"/>
                <w:szCs w:val="18"/>
                <w:highlight w:val="none"/>
                <w:u w:val="none"/>
                <w:lang w:val="en-US" w:eastAsia="zh-CN" w:bidi="ar"/>
              </w:rPr>
              <w:t>（20分）</w:t>
            </w: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监管指标</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2.5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金融“五篇大文章”</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“百千万”工程</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5.5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“户户通”基础工作</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5.5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风险管理类</w:t>
            </w:r>
            <w:r>
              <w:rPr>
                <w:rFonts w:hint="eastAsia" w:ascii="宋体" w:hAnsi="宋体" w:eastAsia="宋体" w:cs="宋体"/>
                <w:b w:val="0"/>
                <w:bCs w:val="0"/>
                <w:i w:val="0"/>
                <w:iCs w:val="0"/>
                <w:color w:val="auto"/>
                <w:kern w:val="0"/>
                <w:sz w:val="18"/>
                <w:szCs w:val="18"/>
                <w:highlight w:val="none"/>
                <w:u w:val="none"/>
                <w:lang w:val="en-US" w:eastAsia="zh-CN" w:bidi="ar"/>
              </w:rPr>
              <w:br w:type="textWrapping"/>
            </w:r>
            <w:r>
              <w:rPr>
                <w:rFonts w:hint="eastAsia" w:ascii="宋体" w:hAnsi="宋体" w:eastAsia="宋体" w:cs="宋体"/>
                <w:b w:val="0"/>
                <w:bCs w:val="0"/>
                <w:i w:val="0"/>
                <w:iCs w:val="0"/>
                <w:color w:val="auto"/>
                <w:kern w:val="0"/>
                <w:sz w:val="18"/>
                <w:szCs w:val="18"/>
                <w:highlight w:val="none"/>
                <w:u w:val="none"/>
                <w:lang w:val="en-US" w:eastAsia="zh-CN" w:bidi="ar"/>
              </w:rPr>
              <w:t>（20分）</w:t>
            </w: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不良贷款率</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不良贷款处置</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7</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资产质量先期管理效率</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拨备覆盖率</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2</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资金业务风险收益平衡水平</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经营效益类</w:t>
            </w:r>
            <w:r>
              <w:rPr>
                <w:rFonts w:hint="eastAsia" w:ascii="宋体" w:hAnsi="宋体" w:eastAsia="宋体" w:cs="宋体"/>
                <w:b w:val="0"/>
                <w:bCs w:val="0"/>
                <w:i w:val="0"/>
                <w:iCs w:val="0"/>
                <w:color w:val="auto"/>
                <w:kern w:val="0"/>
                <w:sz w:val="18"/>
                <w:szCs w:val="18"/>
                <w:highlight w:val="none"/>
                <w:u w:val="none"/>
                <w:lang w:val="en-US" w:eastAsia="zh-CN" w:bidi="ar"/>
              </w:rPr>
              <w:br w:type="textWrapping"/>
            </w:r>
            <w:r>
              <w:rPr>
                <w:rFonts w:hint="eastAsia" w:ascii="宋体" w:hAnsi="宋体" w:eastAsia="宋体" w:cs="宋体"/>
                <w:b w:val="0"/>
                <w:bCs w:val="0"/>
                <w:i w:val="0"/>
                <w:iCs w:val="0"/>
                <w:color w:val="auto"/>
                <w:kern w:val="0"/>
                <w:sz w:val="18"/>
                <w:szCs w:val="18"/>
                <w:highlight w:val="none"/>
                <w:u w:val="none"/>
                <w:lang w:val="en-US" w:eastAsia="zh-CN" w:bidi="ar"/>
              </w:rPr>
              <w:t>（14分）</w:t>
            </w: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经营利润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16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净息差增幅</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auto"/>
                <w:sz w:val="18"/>
                <w:szCs w:val="18"/>
                <w:highlight w:val="none"/>
                <w:u w:val="none"/>
              </w:rPr>
            </w:pPr>
          </w:p>
        </w:tc>
        <w:tc>
          <w:tcPr>
            <w:tcW w:w="2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中间业务收入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3</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3.44</w:t>
            </w:r>
          </w:p>
        </w:tc>
      </w:tr>
    </w:tbl>
    <w:p>
      <w:pPr>
        <w:pStyle w:val="18"/>
        <w:jc w:val="both"/>
        <w:rPr>
          <w:rFonts w:hint="eastAsia"/>
          <w:highlight w:val="none"/>
        </w:rPr>
      </w:pPr>
    </w:p>
    <w:p>
      <w:pPr>
        <w:pStyle w:val="18"/>
        <w:spacing w:line="360" w:lineRule="auto"/>
        <w:jc w:val="center"/>
        <w:rPr>
          <w:highlight w:val="none"/>
        </w:rPr>
      </w:pPr>
      <w:bookmarkStart w:id="13" w:name="_Toc30830"/>
      <w:bookmarkStart w:id="14" w:name="_Toc2105"/>
      <w:bookmarkStart w:id="15" w:name="_Toc22981"/>
      <w:bookmarkStart w:id="16" w:name="_Toc20457"/>
      <w:r>
        <w:rPr>
          <w:rFonts w:hint="eastAsia" w:ascii="方正小标宋_GBK" w:hAnsi="方正小标宋_GBK" w:eastAsia="方正小标宋_GBK" w:cs="方正小标宋_GBK"/>
          <w:b w:val="0"/>
          <w:bCs w:val="0"/>
          <w:sz w:val="36"/>
          <w:szCs w:val="36"/>
          <w:highlight w:val="none"/>
        </w:rPr>
        <w:t>第三节 股本结构及股东情况</w:t>
      </w:r>
      <w:bookmarkEnd w:id="13"/>
      <w:bookmarkEnd w:id="14"/>
      <w:bookmarkEnd w:id="15"/>
      <w:bookmarkEnd w:id="16"/>
    </w:p>
    <w:p>
      <w:pPr>
        <w:tabs>
          <w:tab w:val="left" w:pos="1980"/>
          <w:tab w:val="left" w:pos="7426"/>
        </w:tabs>
        <w:spacing w:line="586" w:lineRule="exact"/>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一、股本变动情况</w:t>
      </w:r>
    </w:p>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（一）报告期股本结构情况表</w:t>
      </w:r>
    </w:p>
    <w:p>
      <w:pPr>
        <w:autoSpaceDE w:val="0"/>
        <w:autoSpaceDN w:val="0"/>
        <w:adjustRightInd w:val="0"/>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单位：股、%</w:t>
      </w:r>
    </w:p>
    <w:tbl>
      <w:tblPr>
        <w:tblStyle w:val="20"/>
        <w:tblW w:w="8295" w:type="dxa"/>
        <w:tblInd w:w="93" w:type="dxa"/>
        <w:tblLayout w:type="fixed"/>
        <w:tblCellMar>
          <w:top w:w="0" w:type="dxa"/>
          <w:left w:w="108" w:type="dxa"/>
          <w:bottom w:w="0" w:type="dxa"/>
          <w:right w:w="108" w:type="dxa"/>
        </w:tblCellMar>
      </w:tblPr>
      <w:tblGrid>
        <w:gridCol w:w="1836"/>
        <w:gridCol w:w="3399"/>
        <w:gridCol w:w="3060"/>
      </w:tblGrid>
      <w:tr>
        <w:tblPrEx>
          <w:tblCellMar>
            <w:top w:w="0" w:type="dxa"/>
            <w:left w:w="108" w:type="dxa"/>
            <w:bottom w:w="0" w:type="dxa"/>
            <w:right w:w="108" w:type="dxa"/>
          </w:tblCellMar>
        </w:tblPrEx>
        <w:trPr>
          <w:trHeight w:val="315" w:hRule="atLeast"/>
        </w:trPr>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股东类型</w:t>
            </w:r>
          </w:p>
        </w:tc>
        <w:tc>
          <w:tcPr>
            <w:tcW w:w="33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股本数</w:t>
            </w:r>
          </w:p>
        </w:tc>
        <w:tc>
          <w:tcPr>
            <w:tcW w:w="30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占总股本比例</w:t>
            </w:r>
          </w:p>
        </w:tc>
      </w:tr>
      <w:tr>
        <w:tblPrEx>
          <w:tblCellMar>
            <w:top w:w="0" w:type="dxa"/>
            <w:left w:w="108" w:type="dxa"/>
            <w:bottom w:w="0" w:type="dxa"/>
            <w:right w:w="108" w:type="dxa"/>
          </w:tblCellMar>
        </w:tblPrEx>
        <w:trPr>
          <w:trHeight w:val="285" w:hRule="atLeast"/>
        </w:trPr>
        <w:tc>
          <w:tcPr>
            <w:tcW w:w="183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法人股</w:t>
            </w:r>
          </w:p>
        </w:tc>
        <w:tc>
          <w:tcPr>
            <w:tcW w:w="3399" w:type="dxa"/>
            <w:tcBorders>
              <w:top w:val="nil"/>
              <w:left w:val="nil"/>
              <w:bottom w:val="single" w:color="auto" w:sz="4" w:space="0"/>
              <w:right w:val="single" w:color="auto" w:sz="4" w:space="0"/>
            </w:tcBorders>
            <w:shd w:val="clear" w:color="auto" w:fill="auto"/>
            <w:vAlign w:val="center"/>
          </w:tcPr>
          <w:p>
            <w:pPr>
              <w:jc w:val="center"/>
              <w:rPr>
                <w:rFonts w:hint="default" w:cs="宋体" w:asciiTheme="minorEastAsia" w:hAnsiTheme="minorEastAsia" w:eastAsiaTheme="minorEastAsia"/>
                <w:sz w:val="18"/>
                <w:szCs w:val="18"/>
                <w:highlight w:val="none"/>
                <w:lang w:val="en-US" w:eastAsia="zh-CN"/>
              </w:rPr>
            </w:pPr>
            <w:r>
              <w:rPr>
                <w:rFonts w:hint="eastAsia" w:cs="宋体" w:asciiTheme="minorEastAsia" w:hAnsiTheme="minorEastAsia" w:eastAsiaTheme="minorEastAsia"/>
                <w:sz w:val="18"/>
                <w:szCs w:val="18"/>
                <w:highlight w:val="none"/>
                <w:lang w:val="en-US" w:eastAsia="zh-CN"/>
              </w:rPr>
              <w:t>153544225</w:t>
            </w:r>
          </w:p>
        </w:tc>
        <w:tc>
          <w:tcPr>
            <w:tcW w:w="3060" w:type="dxa"/>
            <w:tcBorders>
              <w:top w:val="nil"/>
              <w:left w:val="nil"/>
              <w:bottom w:val="single" w:color="auto" w:sz="4" w:space="0"/>
              <w:right w:val="single" w:color="auto" w:sz="4" w:space="0"/>
            </w:tcBorders>
            <w:shd w:val="clear" w:color="auto" w:fill="auto"/>
            <w:vAlign w:val="center"/>
          </w:tcPr>
          <w:p>
            <w:pPr>
              <w:jc w:val="center"/>
              <w:rPr>
                <w:rFonts w:hint="default" w:cs="宋体" w:asciiTheme="minorEastAsia" w:hAnsiTheme="minorEastAsia" w:eastAsiaTheme="minorEastAsia"/>
                <w:sz w:val="18"/>
                <w:szCs w:val="18"/>
                <w:highlight w:val="none"/>
                <w:lang w:val="en-US" w:eastAsia="zh-CN"/>
              </w:rPr>
            </w:pPr>
            <w:r>
              <w:rPr>
                <w:rFonts w:hint="eastAsia" w:cs="宋体" w:asciiTheme="minorEastAsia" w:hAnsiTheme="minorEastAsia" w:eastAsiaTheme="minorEastAsia"/>
                <w:sz w:val="18"/>
                <w:szCs w:val="18"/>
                <w:highlight w:val="none"/>
              </w:rPr>
              <w:t>40.</w:t>
            </w:r>
            <w:r>
              <w:rPr>
                <w:rFonts w:hint="eastAsia" w:cs="宋体" w:asciiTheme="minorEastAsia" w:hAnsiTheme="minorEastAsia" w:eastAsiaTheme="minorEastAsia"/>
                <w:sz w:val="18"/>
                <w:szCs w:val="18"/>
                <w:highlight w:val="none"/>
                <w:lang w:val="en-US" w:eastAsia="zh-CN"/>
              </w:rPr>
              <w:t>43</w:t>
            </w:r>
          </w:p>
        </w:tc>
      </w:tr>
      <w:tr>
        <w:tblPrEx>
          <w:tblCellMar>
            <w:top w:w="0" w:type="dxa"/>
            <w:left w:w="108" w:type="dxa"/>
            <w:bottom w:w="0" w:type="dxa"/>
            <w:right w:w="108" w:type="dxa"/>
          </w:tblCellMar>
        </w:tblPrEx>
        <w:trPr>
          <w:trHeight w:val="285" w:hRule="atLeast"/>
        </w:trPr>
        <w:tc>
          <w:tcPr>
            <w:tcW w:w="183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社会自然人股</w:t>
            </w:r>
          </w:p>
        </w:tc>
        <w:tc>
          <w:tcPr>
            <w:tcW w:w="3399" w:type="dxa"/>
            <w:tcBorders>
              <w:top w:val="nil"/>
              <w:left w:val="nil"/>
              <w:bottom w:val="single" w:color="auto" w:sz="4" w:space="0"/>
              <w:right w:val="single" w:color="auto" w:sz="4" w:space="0"/>
            </w:tcBorders>
            <w:shd w:val="clear" w:color="auto" w:fill="auto"/>
            <w:vAlign w:val="center"/>
          </w:tcPr>
          <w:p>
            <w:pPr>
              <w:jc w:val="center"/>
              <w:rPr>
                <w:rFonts w:hint="default" w:cs="宋体" w:asciiTheme="minorEastAsia" w:hAnsiTheme="minorEastAsia" w:eastAsiaTheme="minorEastAsia"/>
                <w:sz w:val="18"/>
                <w:szCs w:val="18"/>
                <w:highlight w:val="none"/>
                <w:lang w:val="en-US" w:eastAsia="zh-CN"/>
              </w:rPr>
            </w:pPr>
            <w:r>
              <w:rPr>
                <w:rFonts w:hint="eastAsia" w:cs="宋体" w:asciiTheme="minorEastAsia" w:hAnsiTheme="minorEastAsia" w:eastAsiaTheme="minorEastAsia"/>
                <w:sz w:val="18"/>
                <w:szCs w:val="18"/>
                <w:highlight w:val="none"/>
                <w:lang w:val="en-US" w:eastAsia="zh-CN"/>
              </w:rPr>
              <w:t>215137558</w:t>
            </w:r>
          </w:p>
        </w:tc>
        <w:tc>
          <w:tcPr>
            <w:tcW w:w="3060"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rPr>
              <w:t>56.</w:t>
            </w:r>
            <w:r>
              <w:rPr>
                <w:rFonts w:hint="eastAsia" w:cs="宋体" w:asciiTheme="minorEastAsia" w:hAnsiTheme="minorEastAsia" w:eastAsiaTheme="minorEastAsia"/>
                <w:kern w:val="0"/>
                <w:sz w:val="18"/>
                <w:szCs w:val="18"/>
                <w:highlight w:val="none"/>
                <w:lang w:val="en-US" w:eastAsia="zh-CN"/>
              </w:rPr>
              <w:t>65</w:t>
            </w:r>
          </w:p>
        </w:tc>
      </w:tr>
      <w:tr>
        <w:tblPrEx>
          <w:tblCellMar>
            <w:top w:w="0" w:type="dxa"/>
            <w:left w:w="108" w:type="dxa"/>
            <w:bottom w:w="0" w:type="dxa"/>
            <w:right w:w="108" w:type="dxa"/>
          </w:tblCellMar>
        </w:tblPrEx>
        <w:trPr>
          <w:trHeight w:val="285" w:hRule="atLeast"/>
        </w:trPr>
        <w:tc>
          <w:tcPr>
            <w:tcW w:w="183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职工自然人股</w:t>
            </w:r>
          </w:p>
        </w:tc>
        <w:tc>
          <w:tcPr>
            <w:tcW w:w="339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11087</w:t>
            </w:r>
            <w:r>
              <w:rPr>
                <w:rFonts w:hint="eastAsia" w:cs="宋体" w:asciiTheme="minorEastAsia" w:hAnsiTheme="minorEastAsia" w:eastAsiaTheme="minorEastAsia"/>
                <w:sz w:val="18"/>
                <w:szCs w:val="18"/>
                <w:highlight w:val="none"/>
              </w:rPr>
              <w:t>825</w:t>
            </w:r>
          </w:p>
        </w:tc>
        <w:tc>
          <w:tcPr>
            <w:tcW w:w="30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2.92</w:t>
            </w:r>
          </w:p>
        </w:tc>
      </w:tr>
      <w:tr>
        <w:tblPrEx>
          <w:tblCellMar>
            <w:top w:w="0" w:type="dxa"/>
            <w:left w:w="108" w:type="dxa"/>
            <w:bottom w:w="0" w:type="dxa"/>
            <w:right w:w="108" w:type="dxa"/>
          </w:tblCellMar>
        </w:tblPrEx>
        <w:trPr>
          <w:trHeight w:val="285" w:hRule="atLeast"/>
        </w:trPr>
        <w:tc>
          <w:tcPr>
            <w:tcW w:w="183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合计</w:t>
            </w:r>
          </w:p>
        </w:tc>
        <w:tc>
          <w:tcPr>
            <w:tcW w:w="3399" w:type="dxa"/>
            <w:tcBorders>
              <w:top w:val="nil"/>
              <w:left w:val="nil"/>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37</w:t>
            </w:r>
            <w:r>
              <w:rPr>
                <w:rFonts w:hint="eastAsia" w:asciiTheme="minorEastAsia" w:hAnsiTheme="minorEastAsia" w:eastAsiaTheme="minorEastAsia"/>
                <w:sz w:val="18"/>
                <w:szCs w:val="18"/>
                <w:highlight w:val="none"/>
                <w:lang w:val="en-US" w:eastAsia="zh-CN"/>
              </w:rPr>
              <w:t>9</w:t>
            </w:r>
            <w:r>
              <w:rPr>
                <w:rFonts w:hint="eastAsia" w:cs="宋体" w:asciiTheme="minorEastAsia" w:hAnsiTheme="minorEastAsia" w:eastAsiaTheme="minorEastAsia"/>
                <w:sz w:val="18"/>
                <w:szCs w:val="18"/>
                <w:highlight w:val="none"/>
              </w:rPr>
              <w:t>769608</w:t>
            </w:r>
          </w:p>
        </w:tc>
        <w:tc>
          <w:tcPr>
            <w:tcW w:w="30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 xml:space="preserve">100.00 </w:t>
            </w:r>
          </w:p>
        </w:tc>
      </w:tr>
    </w:tbl>
    <w:p>
      <w:pPr>
        <w:autoSpaceDE w:val="0"/>
        <w:autoSpaceDN w:val="0"/>
        <w:adjustRightInd w:val="0"/>
        <w:spacing w:line="360" w:lineRule="auto"/>
        <w:ind w:firstLine="330" w:firstLineChars="150"/>
        <w:jc w:val="left"/>
        <w:rPr>
          <w:rFonts w:hint="eastAsia" w:asciiTheme="minorEastAsia" w:hAnsiTheme="minorEastAsia" w:eastAsiaTheme="minorEastAsia" w:cstheme="minorEastAsia"/>
          <w:kern w:val="0"/>
          <w:sz w:val="22"/>
          <w:szCs w:val="22"/>
          <w:highlight w:val="none"/>
        </w:rPr>
      </w:pPr>
      <w:r>
        <w:rPr>
          <w:rFonts w:hint="eastAsia" w:asciiTheme="minorEastAsia" w:hAnsiTheme="minorEastAsia" w:eastAsiaTheme="minorEastAsia" w:cstheme="minorEastAsia"/>
          <w:kern w:val="0"/>
          <w:sz w:val="22"/>
          <w:szCs w:val="22"/>
          <w:highlight w:val="none"/>
        </w:rPr>
        <w:t>注：职工自然人股的统计口径参照《关于规范金融企业内部职工持股的通知》（财金〔2010〕97号）。</w:t>
      </w:r>
    </w:p>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（二）报告期内资本公积转增情况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本行本年度无进行资本公积转增股本。</w:t>
      </w:r>
    </w:p>
    <w:p>
      <w:pPr>
        <w:tabs>
          <w:tab w:val="left" w:pos="1980"/>
          <w:tab w:val="left" w:pos="7426"/>
        </w:tabs>
        <w:spacing w:line="586" w:lineRule="exact"/>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二、股东情况介绍</w:t>
      </w:r>
    </w:p>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（一）股东数量</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报告期末，本行股东总数为69</w:t>
      </w:r>
      <w:r>
        <w:rPr>
          <w:rFonts w:hint="eastAsia" w:ascii="仿宋_GB2312" w:hAnsi="仿宋_GB2312" w:eastAsia="仿宋_GB2312" w:cs="仿宋_GB2312"/>
          <w:kern w:val="0"/>
          <w:sz w:val="32"/>
          <w:szCs w:val="32"/>
          <w:highlight w:val="none"/>
          <w:lang w:val="en-US" w:eastAsia="zh-CN"/>
        </w:rPr>
        <w:t>33</w:t>
      </w:r>
      <w:r>
        <w:rPr>
          <w:rFonts w:hint="eastAsia" w:ascii="仿宋_GB2312" w:hAnsi="仿宋_GB2312" w:eastAsia="仿宋_GB2312" w:cs="仿宋_GB2312"/>
          <w:kern w:val="0"/>
          <w:sz w:val="32"/>
          <w:szCs w:val="32"/>
          <w:highlight w:val="none"/>
        </w:rPr>
        <w:t>户，其中：法人股东</w:t>
      </w:r>
      <w:r>
        <w:rPr>
          <w:rFonts w:hint="eastAsia" w:ascii="仿宋_GB2312" w:hAnsi="仿宋_GB2312" w:eastAsia="仿宋_GB2312" w:cs="仿宋_GB2312"/>
          <w:kern w:val="0"/>
          <w:sz w:val="32"/>
          <w:szCs w:val="32"/>
          <w:highlight w:val="none"/>
          <w:lang w:val="en-US" w:eastAsia="zh-CN"/>
        </w:rPr>
        <w:t>8</w:t>
      </w:r>
      <w:r>
        <w:rPr>
          <w:rFonts w:hint="eastAsia" w:ascii="仿宋_GB2312" w:hAnsi="仿宋_GB2312" w:eastAsia="仿宋_GB2312" w:cs="仿宋_GB2312"/>
          <w:kern w:val="0"/>
          <w:sz w:val="32"/>
          <w:szCs w:val="32"/>
          <w:highlight w:val="none"/>
        </w:rPr>
        <w:t>户，自然人股东69</w:t>
      </w:r>
      <w:r>
        <w:rPr>
          <w:rFonts w:hint="eastAsia" w:ascii="仿宋_GB2312" w:hAnsi="仿宋_GB2312" w:eastAsia="仿宋_GB2312" w:cs="仿宋_GB2312"/>
          <w:kern w:val="0"/>
          <w:sz w:val="32"/>
          <w:szCs w:val="32"/>
          <w:highlight w:val="none"/>
          <w:lang w:val="en-US" w:eastAsia="zh-CN"/>
        </w:rPr>
        <w:t>25</w:t>
      </w:r>
      <w:r>
        <w:rPr>
          <w:rFonts w:hint="eastAsia" w:ascii="仿宋_GB2312" w:hAnsi="仿宋_GB2312" w:eastAsia="仿宋_GB2312" w:cs="仿宋_GB2312"/>
          <w:kern w:val="0"/>
          <w:sz w:val="32"/>
          <w:szCs w:val="32"/>
          <w:highlight w:val="none"/>
        </w:rPr>
        <w:t>户，其中职工自然人股东</w:t>
      </w:r>
      <w:r>
        <w:rPr>
          <w:rFonts w:hint="eastAsia" w:ascii="仿宋_GB2312" w:hAnsi="仿宋_GB2312" w:eastAsia="仿宋_GB2312" w:cs="仿宋_GB2312"/>
          <w:kern w:val="0"/>
          <w:sz w:val="32"/>
          <w:szCs w:val="32"/>
          <w:highlight w:val="none"/>
          <w:lang w:eastAsia="zh-CN"/>
        </w:rPr>
        <w:t>49</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户。</w:t>
      </w:r>
    </w:p>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（二）报告期末最大十名股东及报告期内变动情况表</w:t>
      </w:r>
    </w:p>
    <w:p>
      <w:pPr>
        <w:autoSpaceDE w:val="0"/>
        <w:autoSpaceDN w:val="0"/>
        <w:adjustRightInd w:val="0"/>
        <w:jc w:val="center"/>
        <w:rPr>
          <w:rFonts w:hint="eastAsia" w:ascii="仿宋_GB2312" w:hAnsi="仿宋_GB2312" w:eastAsia="仿宋_GB2312" w:cs="仿宋_GB2312"/>
          <w:color w:val="auto"/>
          <w:kern w:val="0"/>
          <w:sz w:val="24"/>
          <w:szCs w:val="24"/>
          <w:highlight w:val="none"/>
        </w:rPr>
      </w:pPr>
      <w:r>
        <w:rPr>
          <w:rFonts w:hint="eastAsia" w:cs="仿宋_GB2312" w:asciiTheme="majorEastAsia" w:hAnsiTheme="majorEastAsia" w:eastAsiaTheme="majorEastAsia"/>
          <w:kern w:val="0"/>
          <w:sz w:val="22"/>
          <w:szCs w:val="22"/>
          <w:highlight w:val="none"/>
          <w:lang w:val="en-US" w:eastAsia="zh-CN"/>
        </w:rPr>
        <w:t xml:space="preserve">                                                      </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单位：股</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w:t>
      </w:r>
    </w:p>
    <w:tbl>
      <w:tblPr>
        <w:tblStyle w:val="20"/>
        <w:tblW w:w="8192" w:type="dxa"/>
        <w:jc w:val="center"/>
        <w:tblLayout w:type="fixed"/>
        <w:tblCellMar>
          <w:top w:w="0" w:type="dxa"/>
          <w:left w:w="108" w:type="dxa"/>
          <w:bottom w:w="0" w:type="dxa"/>
          <w:right w:w="108" w:type="dxa"/>
        </w:tblCellMar>
      </w:tblPr>
      <w:tblGrid>
        <w:gridCol w:w="3297"/>
        <w:gridCol w:w="1307"/>
        <w:gridCol w:w="1263"/>
        <w:gridCol w:w="1225"/>
        <w:gridCol w:w="1100"/>
      </w:tblGrid>
      <w:tr>
        <w:tblPrEx>
          <w:tblCellMar>
            <w:top w:w="0" w:type="dxa"/>
            <w:left w:w="108" w:type="dxa"/>
            <w:bottom w:w="0" w:type="dxa"/>
            <w:right w:w="108" w:type="dxa"/>
          </w:tblCellMar>
        </w:tblPrEx>
        <w:trPr>
          <w:trHeight w:val="347" w:hRule="atLeast"/>
          <w:tblHeader/>
          <w:jc w:val="center"/>
        </w:trPr>
        <w:tc>
          <w:tcPr>
            <w:tcW w:w="3297" w:type="dxa"/>
            <w:vMerge w:val="restart"/>
            <w:tcBorders>
              <w:top w:val="single" w:color="auto" w:sz="4" w:space="0"/>
              <w:left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名称</w:t>
            </w:r>
          </w:p>
        </w:tc>
        <w:tc>
          <w:tcPr>
            <w:tcW w:w="1307" w:type="dxa"/>
            <w:vMerge w:val="restart"/>
            <w:tcBorders>
              <w:top w:val="single" w:color="auto" w:sz="4" w:space="0"/>
              <w:left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持股数额</w:t>
            </w:r>
          </w:p>
        </w:tc>
        <w:tc>
          <w:tcPr>
            <w:tcW w:w="1263" w:type="dxa"/>
            <w:vMerge w:val="restart"/>
            <w:tcBorders>
              <w:top w:val="single" w:color="auto" w:sz="4" w:space="0"/>
              <w:left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持股比例</w:t>
            </w:r>
          </w:p>
        </w:tc>
        <w:tc>
          <w:tcPr>
            <w:tcW w:w="2325" w:type="dxa"/>
            <w:gridSpan w:val="2"/>
            <w:tcBorders>
              <w:top w:val="single" w:color="auto" w:sz="4" w:space="0"/>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报告期内股权变动情况</w:t>
            </w:r>
          </w:p>
        </w:tc>
      </w:tr>
      <w:tr>
        <w:tblPrEx>
          <w:tblCellMar>
            <w:top w:w="0" w:type="dxa"/>
            <w:left w:w="108" w:type="dxa"/>
            <w:bottom w:w="0" w:type="dxa"/>
            <w:right w:w="108" w:type="dxa"/>
          </w:tblCellMar>
        </w:tblPrEx>
        <w:trPr>
          <w:trHeight w:val="311" w:hRule="atLeast"/>
          <w:tblHeader/>
          <w:jc w:val="center"/>
        </w:trPr>
        <w:tc>
          <w:tcPr>
            <w:tcW w:w="3297" w:type="dxa"/>
            <w:vMerge w:val="continue"/>
            <w:tcBorders>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p>
        </w:tc>
        <w:tc>
          <w:tcPr>
            <w:tcW w:w="1307" w:type="dxa"/>
            <w:vMerge w:val="continue"/>
            <w:tcBorders>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p>
        </w:tc>
        <w:tc>
          <w:tcPr>
            <w:tcW w:w="1263" w:type="dxa"/>
            <w:vMerge w:val="continue"/>
            <w:tcBorders>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增加</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b/>
                <w:sz w:val="18"/>
                <w:szCs w:val="18"/>
                <w:highlight w:val="none"/>
              </w:rPr>
            </w:pPr>
            <w:r>
              <w:rPr>
                <w:rFonts w:hint="eastAsia" w:cs="Courier New" w:asciiTheme="minorEastAsia" w:hAnsiTheme="minorEastAsia" w:eastAsiaTheme="minorEastAsia"/>
                <w:b/>
                <w:sz w:val="18"/>
                <w:szCs w:val="18"/>
                <w:highlight w:val="none"/>
              </w:rPr>
              <w:t>减少</w:t>
            </w:r>
          </w:p>
        </w:tc>
      </w:tr>
      <w:tr>
        <w:tblPrEx>
          <w:tblCellMar>
            <w:top w:w="0" w:type="dxa"/>
            <w:left w:w="108" w:type="dxa"/>
            <w:bottom w:w="0" w:type="dxa"/>
            <w:right w:w="108" w:type="dxa"/>
          </w:tblCellMar>
        </w:tblPrEx>
        <w:trPr>
          <w:trHeight w:val="325"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珠海农村商业银行股份有限公司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5</w:t>
            </w:r>
            <w:r>
              <w:rPr>
                <w:rFonts w:hint="eastAsia" w:asciiTheme="minorEastAsia" w:hAnsiTheme="minorEastAsia" w:eastAsiaTheme="minorEastAsia"/>
                <w:sz w:val="18"/>
                <w:szCs w:val="18"/>
                <w:highlight w:val="none"/>
              </w:rPr>
              <w:t>3</w:t>
            </w:r>
            <w:r>
              <w:rPr>
                <w:rFonts w:asciiTheme="minorEastAsia" w:hAnsiTheme="minorEastAsia" w:eastAsiaTheme="minorEastAsia"/>
                <w:sz w:val="18"/>
                <w:szCs w:val="18"/>
                <w:highlight w:val="none"/>
              </w:rPr>
              <w:t>5</w:t>
            </w:r>
            <w:r>
              <w:rPr>
                <w:rFonts w:hint="eastAsia" w:asciiTheme="minorEastAsia" w:hAnsiTheme="minorEastAsia" w:eastAsiaTheme="minorEastAsia"/>
                <w:sz w:val="18"/>
                <w:szCs w:val="18"/>
                <w:highlight w:val="none"/>
              </w:rPr>
              <w:t>8</w:t>
            </w:r>
            <w:r>
              <w:rPr>
                <w:rFonts w:asciiTheme="minorEastAsia" w:hAnsiTheme="minorEastAsia" w:eastAsiaTheme="minorEastAsia"/>
                <w:sz w:val="18"/>
                <w:szCs w:val="18"/>
                <w:highlight w:val="none"/>
              </w:rPr>
              <w:t>0</w:t>
            </w:r>
            <w:r>
              <w:rPr>
                <w:rFonts w:hint="eastAsia" w:asciiTheme="minorEastAsia" w:hAnsiTheme="minorEastAsia" w:eastAsiaTheme="minorEastAsia"/>
                <w:sz w:val="18"/>
                <w:szCs w:val="18"/>
                <w:highlight w:val="none"/>
              </w:rPr>
              <w:t>6</w:t>
            </w:r>
            <w:r>
              <w:rPr>
                <w:rFonts w:asciiTheme="minorEastAsia" w:hAnsiTheme="minorEastAsia" w:eastAsiaTheme="minorEastAsia"/>
                <w:sz w:val="18"/>
                <w:szCs w:val="18"/>
                <w:highlight w:val="none"/>
              </w:rPr>
              <w:t>00</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14.11</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 xml:space="preserve"> </w:t>
            </w: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338"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肇庆农村商业银行股份有限公司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31829449</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8.38</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312"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广宁县君州房地产有限公司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22735321</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5.99</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260"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肇庆汇利贸易有限公司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13072810</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3.44</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260"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佛山市嘉悦致资源科技有限公司</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11100000</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hint="eastAsia" w:cs="Courier New" w:asciiTheme="minorEastAsia" w:hAnsiTheme="minorEastAsia" w:eastAsiaTheme="minorEastAsia"/>
                <w:sz w:val="18"/>
                <w:szCs w:val="18"/>
                <w:highlight w:val="none"/>
              </w:rPr>
              <w:t>2.92</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236"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广宁县创展农业科技有限公司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10776543</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2.84</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183"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广宁县长盛客运有限公司</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8744354</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2.30</w:t>
            </w:r>
          </w:p>
        </w:tc>
        <w:tc>
          <w:tcPr>
            <w:tcW w:w="1225"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145"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焦景君</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6429672</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1.</w:t>
            </w:r>
            <w:r>
              <w:rPr>
                <w:rFonts w:hint="eastAsia" w:cs="Courier New" w:asciiTheme="minorEastAsia" w:hAnsiTheme="minorEastAsia" w:eastAsiaTheme="minorEastAsia"/>
                <w:sz w:val="18"/>
                <w:szCs w:val="18"/>
                <w:highlight w:val="none"/>
              </w:rPr>
              <w:t>69</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249"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梁会昆</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5242800</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cs="Courier New" w:asciiTheme="minorEastAsia" w:hAnsiTheme="minorEastAsia" w:eastAsiaTheme="minorEastAsia"/>
                <w:sz w:val="18"/>
                <w:szCs w:val="18"/>
                <w:highlight w:val="none"/>
              </w:rPr>
              <w:t>1.</w:t>
            </w:r>
            <w:r>
              <w:rPr>
                <w:rFonts w:hint="eastAsia" w:cs="Courier New" w:asciiTheme="minorEastAsia" w:hAnsiTheme="minorEastAsia" w:eastAsiaTheme="minorEastAsia"/>
                <w:sz w:val="18"/>
                <w:szCs w:val="18"/>
                <w:highlight w:val="none"/>
              </w:rPr>
              <w:t>38</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212" w:hRule="atLeast"/>
          <w:jc w:val="center"/>
        </w:trPr>
        <w:tc>
          <w:tcPr>
            <w:tcW w:w="3297" w:type="dxa"/>
            <w:tcBorders>
              <w:top w:val="single" w:color="auto" w:sz="4" w:space="0"/>
              <w:left w:val="single" w:color="auto" w:sz="4" w:space="0"/>
              <w:bottom w:val="single" w:color="auto" w:sz="4" w:space="0"/>
              <w:right w:val="single" w:color="auto" w:sz="4" w:space="0"/>
            </w:tcBorders>
          </w:tcPr>
          <w:p>
            <w:pPr>
              <w:rPr>
                <w:sz w:val="18"/>
                <w:szCs w:val="18"/>
                <w:highlight w:val="none"/>
              </w:rPr>
            </w:pPr>
            <w:r>
              <w:rPr>
                <w:rFonts w:hint="eastAsia"/>
                <w:sz w:val="18"/>
                <w:szCs w:val="18"/>
                <w:highlight w:val="none"/>
              </w:rPr>
              <w:t>何敏君</w:t>
            </w:r>
          </w:p>
        </w:tc>
        <w:tc>
          <w:tcPr>
            <w:tcW w:w="13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r>
              <w:rPr>
                <w:rFonts w:asciiTheme="minorEastAsia" w:hAnsiTheme="minorEastAsia" w:eastAsiaTheme="minorEastAsia"/>
                <w:sz w:val="18"/>
                <w:szCs w:val="18"/>
                <w:highlight w:val="none"/>
              </w:rPr>
              <w:t>5006194</w:t>
            </w:r>
          </w:p>
        </w:tc>
        <w:tc>
          <w:tcPr>
            <w:tcW w:w="1263" w:type="dxa"/>
            <w:tcBorders>
              <w:top w:val="single" w:color="auto" w:sz="4" w:space="0"/>
              <w:left w:val="single" w:color="auto" w:sz="4" w:space="0"/>
              <w:bottom w:val="single" w:color="auto" w:sz="4" w:space="0"/>
              <w:right w:val="single" w:color="auto" w:sz="4" w:space="0"/>
            </w:tcBorders>
          </w:tcPr>
          <w:p>
            <w:pPr>
              <w:ind w:right="191" w:rightChars="91"/>
              <w:jc w:val="center"/>
              <w:rPr>
                <w:rFonts w:cs="Courier New" w:asciiTheme="minorEastAsia" w:hAnsiTheme="minorEastAsia" w:eastAsiaTheme="minorEastAsia"/>
                <w:sz w:val="18"/>
                <w:szCs w:val="18"/>
                <w:highlight w:val="none"/>
              </w:rPr>
            </w:pPr>
            <w:r>
              <w:rPr>
                <w:rFonts w:hint="eastAsia" w:cs="Courier New" w:asciiTheme="minorEastAsia" w:hAnsiTheme="minorEastAsia" w:eastAsiaTheme="minorEastAsia"/>
                <w:sz w:val="18"/>
                <w:szCs w:val="18"/>
                <w:highlight w:val="none"/>
              </w:rPr>
              <w:t>1.32</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p>
        </w:tc>
      </w:tr>
      <w:tr>
        <w:tblPrEx>
          <w:tblCellMar>
            <w:top w:w="0" w:type="dxa"/>
            <w:left w:w="108" w:type="dxa"/>
            <w:bottom w:w="0" w:type="dxa"/>
            <w:right w:w="108" w:type="dxa"/>
          </w:tblCellMar>
        </w:tblPrEx>
        <w:trPr>
          <w:trHeight w:val="351" w:hRule="atLeast"/>
          <w:jc w:val="center"/>
        </w:trPr>
        <w:tc>
          <w:tcPr>
            <w:tcW w:w="3297"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cs="Courier New" w:asciiTheme="minorEastAsia" w:hAnsiTheme="minorEastAsia" w:eastAsiaTheme="minorEastAsia"/>
                <w:sz w:val="18"/>
                <w:szCs w:val="18"/>
                <w:highlight w:val="none"/>
              </w:rPr>
            </w:pPr>
            <w:r>
              <w:rPr>
                <w:rFonts w:hint="eastAsia" w:cs="Courier New" w:asciiTheme="minorEastAsia" w:hAnsiTheme="minorEastAsia" w:eastAsiaTheme="minorEastAsia"/>
                <w:sz w:val="18"/>
                <w:szCs w:val="18"/>
                <w:highlight w:val="none"/>
              </w:rPr>
              <w:t>合计</w:t>
            </w:r>
          </w:p>
        </w:tc>
        <w:tc>
          <w:tcPr>
            <w:tcW w:w="13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168517743</w:t>
            </w:r>
          </w:p>
        </w:tc>
        <w:tc>
          <w:tcPr>
            <w:tcW w:w="1263" w:type="dxa"/>
            <w:tcBorders>
              <w:top w:val="single" w:color="auto" w:sz="4" w:space="0"/>
              <w:left w:val="single" w:color="auto" w:sz="4" w:space="0"/>
              <w:bottom w:val="single" w:color="auto" w:sz="4" w:space="0"/>
              <w:right w:val="single" w:color="auto" w:sz="4" w:space="0"/>
            </w:tcBorders>
            <w:vAlign w:val="center"/>
          </w:tcPr>
          <w:p>
            <w:pPr>
              <w:ind w:firstLine="180" w:firstLineChars="100"/>
              <w:jc w:val="both"/>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4</w:t>
            </w:r>
            <w:r>
              <w:rPr>
                <w:rFonts w:hint="eastAsia" w:asciiTheme="minorEastAsia" w:hAnsiTheme="minorEastAsia" w:eastAsiaTheme="minorEastAsia"/>
                <w:sz w:val="18"/>
                <w:szCs w:val="18"/>
                <w:highlight w:val="none"/>
                <w:lang w:val="en-US" w:eastAsia="zh-CN"/>
              </w:rPr>
              <w:t>4</w:t>
            </w:r>
            <w:r>
              <w:rPr>
                <w:rFonts w:hint="eastAsia" w:asciiTheme="minorEastAsia" w:hAnsiTheme="minorEastAsia" w:eastAsiaTheme="minorEastAsia"/>
                <w:sz w:val="18"/>
                <w:szCs w:val="18"/>
                <w:highlight w:val="none"/>
              </w:rPr>
              <w:t>.37</w:t>
            </w:r>
          </w:p>
        </w:tc>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cs="Courier New" w:asciiTheme="minorEastAsia" w:hAnsiTheme="minorEastAsia" w:eastAsiaTheme="minorEastAsia"/>
                <w:sz w:val="18"/>
                <w:szCs w:val="18"/>
                <w:highlight w:val="none"/>
              </w:rPr>
            </w:pPr>
          </w:p>
        </w:tc>
        <w:tc>
          <w:tcPr>
            <w:tcW w:w="1100" w:type="dxa"/>
            <w:tcBorders>
              <w:top w:val="single" w:color="auto" w:sz="4" w:space="0"/>
              <w:left w:val="single" w:color="auto" w:sz="4" w:space="0"/>
              <w:bottom w:val="single" w:color="auto" w:sz="4" w:space="0"/>
              <w:right w:val="single" w:color="auto" w:sz="4" w:space="0"/>
            </w:tcBorders>
            <w:vAlign w:val="center"/>
          </w:tcPr>
          <w:p>
            <w:pPr>
              <w:ind w:right="191" w:rightChars="91"/>
              <w:jc w:val="center"/>
              <w:rPr>
                <w:rFonts w:asciiTheme="minorEastAsia" w:hAnsiTheme="minorEastAsia" w:eastAsiaTheme="minorEastAsia"/>
                <w:sz w:val="18"/>
                <w:szCs w:val="18"/>
                <w:highlight w:val="none"/>
              </w:rPr>
            </w:pPr>
          </w:p>
        </w:tc>
      </w:tr>
    </w:tbl>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（三）报告期末主要股东及其控股股东、实际控制人、关联方、一致行动人、最终受益人情况</w:t>
      </w:r>
    </w:p>
    <w:p>
      <w:pPr>
        <w:autoSpaceDE w:val="0"/>
        <w:autoSpaceDN w:val="0"/>
        <w:adjustRightInd w:val="0"/>
        <w:jc w:val="right"/>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单位：股</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 xml:space="preserve"> </w:t>
      </w:r>
      <w:r>
        <w:rPr>
          <w:rFonts w:hint="eastAsia" w:ascii="仿宋_GB2312" w:hAnsi="仿宋_GB2312" w:eastAsia="仿宋_GB2312" w:cs="仿宋_GB2312"/>
          <w:color w:val="auto"/>
          <w:kern w:val="0"/>
          <w:sz w:val="24"/>
          <w:szCs w:val="24"/>
          <w:highlight w:val="none"/>
        </w:rPr>
        <w:t>%</w:t>
      </w:r>
    </w:p>
    <w:tbl>
      <w:tblPr>
        <w:tblStyle w:val="20"/>
        <w:tblW w:w="5446" w:type="pct"/>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78"/>
        <w:gridCol w:w="2913"/>
        <w:gridCol w:w="972"/>
        <w:gridCol w:w="1542"/>
        <w:gridCol w:w="990"/>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股东名称（最终受益人）</w:t>
            </w: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关联方、一致行动人和实际控制人</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持股数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关系</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股东及其关联方合计持股数</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lang w:val="en-US" w:eastAsia="zh-CN"/>
              </w:rPr>
              <w:t>股东及其关联方、一致行动人和实际控制人占总股份比例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94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珠海农村商业银行股份有限公司</w:t>
            </w: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517"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53580600</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52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53580600</w:t>
            </w:r>
          </w:p>
        </w:tc>
        <w:tc>
          <w:tcPr>
            <w:tcW w:w="64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94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肇庆农村商业银行股份有限公司</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517"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31829449</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52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31829449</w:t>
            </w:r>
          </w:p>
        </w:tc>
        <w:tc>
          <w:tcPr>
            <w:tcW w:w="64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5"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广宁县君州房地产有限公司（王斌）</w:t>
            </w: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德庆县森翔实业有限公司</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23090560</w:t>
            </w:r>
          </w:p>
        </w:tc>
        <w:tc>
          <w:tcPr>
            <w:tcW w:w="640"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苏静</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一致行动人</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王斌</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331936</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实际控制人</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梁肇金</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23303</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陈国华</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王奇开</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实际控制人父亲</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植肖明</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实际控制人母亲</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王桂珍</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实际控制姐姐</w:t>
            </w:r>
          </w:p>
        </w:tc>
        <w:tc>
          <w:tcPr>
            <w:tcW w:w="526"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45"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王思雯</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实际控制人妹妹</w:t>
            </w:r>
          </w:p>
        </w:tc>
        <w:tc>
          <w:tcPr>
            <w:tcW w:w="526"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4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许绵强</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陈木海</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94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肇庆市祥信会计师事务所有限公司广宁县办事处</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4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肇庆翔宇农业科技发展有限公司</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广宁县祥业会计记账有限公司</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1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肇庆职信税务咨询有限公司</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关联方</w:t>
            </w:r>
          </w:p>
        </w:tc>
        <w:tc>
          <w:tcPr>
            <w:tcW w:w="52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c>
          <w:tcPr>
            <w:tcW w:w="6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highlight w:val="none"/>
                <w:u w:val="none"/>
              </w:rPr>
            </w:pPr>
          </w:p>
        </w:tc>
      </w:tr>
    </w:tbl>
    <w:p>
      <w:pPr>
        <w:pStyle w:val="18"/>
        <w:spacing w:line="360" w:lineRule="auto"/>
        <w:jc w:val="both"/>
        <w:rPr>
          <w:rFonts w:hint="eastAsia" w:ascii="方正小标宋_GBK" w:hAnsi="方正小标宋_GBK" w:eastAsia="方正小标宋_GBK" w:cs="方正小标宋_GBK"/>
          <w:b w:val="0"/>
          <w:bCs w:val="0"/>
          <w:sz w:val="36"/>
          <w:szCs w:val="36"/>
          <w:highlight w:val="none"/>
          <w:lang w:val="en-US" w:eastAsia="zh-CN"/>
        </w:rPr>
      </w:pPr>
      <w:bookmarkStart w:id="17" w:name="_Toc27812"/>
      <w:bookmarkStart w:id="18" w:name="_Toc26940"/>
      <w:bookmarkStart w:id="19" w:name="_Toc10666"/>
      <w:bookmarkStart w:id="20" w:name="_Toc2475"/>
    </w:p>
    <w:p>
      <w:pPr>
        <w:pStyle w:val="18"/>
        <w:spacing w:line="360" w:lineRule="auto"/>
        <w:rPr>
          <w:rFonts w:hint="eastAsia" w:ascii="方正小标宋_GBK" w:hAnsi="方正小标宋_GBK" w:eastAsia="方正小标宋_GBK" w:cs="方正小标宋_GBK"/>
          <w:b w:val="0"/>
          <w:bCs w:val="0"/>
          <w:sz w:val="36"/>
          <w:szCs w:val="36"/>
          <w:highlight w:val="none"/>
        </w:rPr>
      </w:pPr>
      <w:r>
        <w:rPr>
          <w:rFonts w:hint="eastAsia" w:ascii="方正小标宋_GBK" w:hAnsi="方正小标宋_GBK" w:eastAsia="方正小标宋_GBK" w:cs="方正小标宋_GBK"/>
          <w:b w:val="0"/>
          <w:bCs w:val="0"/>
          <w:sz w:val="36"/>
          <w:szCs w:val="36"/>
          <w:highlight w:val="none"/>
          <w:lang w:val="en-US" w:eastAsia="zh-CN"/>
        </w:rPr>
        <w:t xml:space="preserve">第四节  </w:t>
      </w:r>
      <w:r>
        <w:rPr>
          <w:rFonts w:hint="eastAsia" w:ascii="方正小标宋_GBK" w:hAnsi="方正小标宋_GBK" w:eastAsia="方正小标宋_GBK" w:cs="方正小标宋_GBK"/>
          <w:b w:val="0"/>
          <w:bCs w:val="0"/>
          <w:sz w:val="36"/>
          <w:szCs w:val="36"/>
          <w:highlight w:val="none"/>
        </w:rPr>
        <w:t>董事</w:t>
      </w:r>
      <w:r>
        <w:rPr>
          <w:rFonts w:hint="eastAsia" w:ascii="方正小标宋_GBK" w:hAnsi="方正小标宋_GBK" w:eastAsia="方正小标宋_GBK" w:cs="方正小标宋_GBK"/>
          <w:b w:val="0"/>
          <w:bCs w:val="0"/>
          <w:sz w:val="36"/>
          <w:szCs w:val="36"/>
          <w:highlight w:val="none"/>
          <w:lang w:eastAsia="zh-CN"/>
        </w:rPr>
        <w:t>、</w:t>
      </w:r>
      <w:r>
        <w:rPr>
          <w:rFonts w:hint="eastAsia" w:ascii="方正小标宋_GBK" w:hAnsi="方正小标宋_GBK" w:eastAsia="方正小标宋_GBK" w:cs="方正小标宋_GBK"/>
          <w:b w:val="0"/>
          <w:bCs w:val="0"/>
          <w:sz w:val="36"/>
          <w:szCs w:val="36"/>
          <w:highlight w:val="none"/>
          <w:lang w:val="en-US" w:eastAsia="zh-CN"/>
        </w:rPr>
        <w:t>监事、</w:t>
      </w:r>
      <w:r>
        <w:rPr>
          <w:rFonts w:hint="eastAsia" w:ascii="方正小标宋_GBK" w:hAnsi="方正小标宋_GBK" w:eastAsia="方正小标宋_GBK" w:cs="方正小标宋_GBK"/>
          <w:b w:val="0"/>
          <w:bCs w:val="0"/>
          <w:sz w:val="36"/>
          <w:szCs w:val="36"/>
          <w:highlight w:val="none"/>
        </w:rPr>
        <w:t>高级管理人员</w:t>
      </w:r>
      <w:r>
        <w:rPr>
          <w:rFonts w:hint="eastAsia" w:ascii="方正小标宋_GBK" w:hAnsi="方正小标宋_GBK" w:eastAsia="方正小标宋_GBK" w:cs="方正小标宋_GBK"/>
          <w:b w:val="0"/>
          <w:bCs w:val="0"/>
          <w:sz w:val="36"/>
          <w:szCs w:val="36"/>
          <w:highlight w:val="none"/>
          <w:lang w:val="en-US" w:eastAsia="zh-CN"/>
        </w:rPr>
        <w:t>及</w:t>
      </w:r>
      <w:r>
        <w:rPr>
          <w:rFonts w:hint="eastAsia" w:ascii="方正小标宋_GBK" w:hAnsi="方正小标宋_GBK" w:eastAsia="方正小标宋_GBK" w:cs="方正小标宋_GBK"/>
          <w:b w:val="0"/>
          <w:bCs w:val="0"/>
          <w:sz w:val="36"/>
          <w:szCs w:val="36"/>
          <w:highlight w:val="none"/>
        </w:rPr>
        <w:t>员工情况</w:t>
      </w:r>
      <w:bookmarkEnd w:id="17"/>
      <w:bookmarkEnd w:id="18"/>
      <w:bookmarkEnd w:id="19"/>
      <w:bookmarkEnd w:id="20"/>
    </w:p>
    <w:p>
      <w:pPr>
        <w:pStyle w:val="4"/>
        <w:spacing w:line="360" w:lineRule="auto"/>
        <w:rPr>
          <w:rFonts w:hint="eastAsia"/>
          <w:highlight w:val="none"/>
        </w:rPr>
      </w:pPr>
    </w:p>
    <w:p>
      <w:pPr>
        <w:autoSpaceDE w:val="0"/>
        <w:autoSpaceDN w:val="0"/>
        <w:adjustRightInd w:val="0"/>
        <w:spacing w:line="360" w:lineRule="auto"/>
        <w:ind w:firstLine="480" w:firstLineChars="150"/>
        <w:jc w:val="left"/>
        <w:rPr>
          <w:rFonts w:ascii="黑体" w:eastAsia="黑体" w:cs="黑体"/>
          <w:b/>
          <w:bCs/>
          <w:kern w:val="0"/>
          <w:sz w:val="28"/>
          <w:szCs w:val="28"/>
          <w:highlight w:val="none"/>
        </w:rPr>
      </w:pPr>
      <w:r>
        <w:rPr>
          <w:rFonts w:hint="eastAsia" w:ascii="黑体" w:hAnsi="Times New Roman" w:eastAsia="黑体" w:cs="Times New Roman"/>
          <w:sz w:val="32"/>
          <w:szCs w:val="32"/>
          <w:highlight w:val="none"/>
        </w:rPr>
        <w:t>一、</w:t>
      </w:r>
      <w:r>
        <w:rPr>
          <w:rFonts w:hint="eastAsia" w:ascii="黑体" w:eastAsia="黑体" w:cs="Times New Roman"/>
          <w:sz w:val="32"/>
          <w:szCs w:val="32"/>
          <w:highlight w:val="none"/>
          <w:lang w:val="en-US" w:eastAsia="zh-CN"/>
        </w:rPr>
        <w:t>报告期内</w:t>
      </w:r>
      <w:r>
        <w:rPr>
          <w:rFonts w:hint="eastAsia" w:ascii="黑体" w:hAnsi="Times New Roman" w:eastAsia="黑体" w:cs="Times New Roman"/>
          <w:sz w:val="32"/>
          <w:szCs w:val="32"/>
          <w:highlight w:val="none"/>
        </w:rPr>
        <w:t>董事</w:t>
      </w:r>
      <w:r>
        <w:rPr>
          <w:rFonts w:hint="eastAsia" w:ascii="黑体" w:eastAsia="黑体" w:cs="Times New Roman"/>
          <w:sz w:val="32"/>
          <w:szCs w:val="32"/>
          <w:highlight w:val="none"/>
          <w:lang w:eastAsia="zh-CN"/>
        </w:rPr>
        <w:t>、</w:t>
      </w:r>
      <w:r>
        <w:rPr>
          <w:rFonts w:hint="eastAsia" w:ascii="黑体" w:eastAsia="黑体" w:cs="Times New Roman"/>
          <w:sz w:val="32"/>
          <w:szCs w:val="32"/>
          <w:highlight w:val="none"/>
          <w:lang w:val="en-US" w:eastAsia="zh-CN"/>
        </w:rPr>
        <w:t>监事及</w:t>
      </w:r>
      <w:r>
        <w:rPr>
          <w:rFonts w:hint="eastAsia" w:ascii="黑体" w:hAnsi="Times New Roman" w:eastAsia="黑体" w:cs="Times New Roman"/>
          <w:sz w:val="32"/>
          <w:szCs w:val="32"/>
          <w:highlight w:val="none"/>
        </w:rPr>
        <w:t>高管人员情况</w:t>
      </w:r>
    </w:p>
    <w:p>
      <w:pPr>
        <w:tabs>
          <w:tab w:val="left" w:pos="1980"/>
        </w:tabs>
        <w:spacing w:line="360" w:lineRule="auto"/>
        <w:ind w:firstLine="640" w:firstLineChars="200"/>
        <w:rPr>
          <w:rFonts w:hint="eastAsia" w:ascii="楷体_GB2312" w:hAnsi="Times New Roman" w:eastAsia="楷体_GB2312" w:cs="Times New Roman"/>
          <w:sz w:val="32"/>
          <w:szCs w:val="32"/>
          <w:highlight w:val="none"/>
        </w:rPr>
      </w:pPr>
      <w:r>
        <w:rPr>
          <w:rFonts w:hint="eastAsia" w:ascii="楷体_GB2312" w:hAnsi="Times New Roman" w:eastAsia="楷体_GB2312" w:cs="Times New Roman"/>
          <w:sz w:val="32"/>
          <w:szCs w:val="32"/>
          <w:highlight w:val="none"/>
        </w:rPr>
        <w:t>（一）董事</w:t>
      </w:r>
    </w:p>
    <w:tbl>
      <w:tblPr>
        <w:tblStyle w:val="20"/>
        <w:tblW w:w="7009" w:type="dxa"/>
        <w:jc w:val="center"/>
        <w:tblLayout w:type="fixed"/>
        <w:tblCellMar>
          <w:top w:w="0" w:type="dxa"/>
          <w:left w:w="108" w:type="dxa"/>
          <w:bottom w:w="0" w:type="dxa"/>
          <w:right w:w="108" w:type="dxa"/>
        </w:tblCellMar>
      </w:tblPr>
      <w:tblGrid>
        <w:gridCol w:w="1202"/>
        <w:gridCol w:w="844"/>
        <w:gridCol w:w="712"/>
        <w:gridCol w:w="900"/>
        <w:gridCol w:w="2719"/>
        <w:gridCol w:w="632"/>
      </w:tblGrid>
      <w:tr>
        <w:tblPrEx>
          <w:tblCellMar>
            <w:top w:w="0" w:type="dxa"/>
            <w:left w:w="108" w:type="dxa"/>
            <w:bottom w:w="0" w:type="dxa"/>
            <w:right w:w="108" w:type="dxa"/>
          </w:tblCellMar>
        </w:tblPrEx>
        <w:trPr>
          <w:trHeight w:val="1281" w:hRule="exact"/>
          <w:tblHeader/>
          <w:jc w:val="center"/>
        </w:trPr>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职 务</w:t>
            </w:r>
          </w:p>
        </w:tc>
        <w:tc>
          <w:tcPr>
            <w:tcW w:w="844" w:type="dxa"/>
            <w:tcBorders>
              <w:top w:val="single" w:color="auto" w:sz="4" w:space="0"/>
              <w:left w:val="nil"/>
              <w:bottom w:val="single" w:color="auto" w:sz="4" w:space="0"/>
              <w:right w:val="single" w:color="auto" w:sz="4" w:space="0"/>
            </w:tcBorders>
            <w:shd w:val="clear" w:color="auto" w:fill="auto"/>
            <w:vAlign w:val="center"/>
          </w:tcPr>
          <w:p>
            <w:pPr>
              <w:widowControl/>
              <w:ind w:left="89" w:hanging="89" w:hangingChars="49"/>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 xml:space="preserve"> 姓 名</w:t>
            </w:r>
          </w:p>
        </w:tc>
        <w:tc>
          <w:tcPr>
            <w:tcW w:w="7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性别</w:t>
            </w:r>
          </w:p>
        </w:tc>
        <w:tc>
          <w:tcPr>
            <w:tcW w:w="9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出生</w:t>
            </w:r>
          </w:p>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年份</w:t>
            </w:r>
          </w:p>
        </w:tc>
        <w:tc>
          <w:tcPr>
            <w:tcW w:w="27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任职单位及职务</w:t>
            </w:r>
          </w:p>
        </w:tc>
        <w:tc>
          <w:tcPr>
            <w:tcW w:w="6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领取薪酬(√)</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原</w:t>
            </w:r>
            <w:r>
              <w:rPr>
                <w:rFonts w:hint="eastAsia" w:cs="宋体" w:asciiTheme="minorEastAsia" w:hAnsiTheme="minorEastAsia" w:eastAsiaTheme="minorEastAsia"/>
                <w:kern w:val="0"/>
                <w:sz w:val="18"/>
                <w:szCs w:val="18"/>
                <w:highlight w:val="none"/>
              </w:rPr>
              <w:t>董事长</w:t>
            </w:r>
          </w:p>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/职工董事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何文肇</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1975年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原</w:t>
            </w:r>
            <w:r>
              <w:rPr>
                <w:rFonts w:hint="eastAsia" w:cs="宋体" w:asciiTheme="minorEastAsia" w:hAnsiTheme="minorEastAsia" w:eastAsiaTheme="minorEastAsia"/>
                <w:kern w:val="0"/>
                <w:sz w:val="18"/>
                <w:szCs w:val="18"/>
                <w:highlight w:val="none"/>
              </w:rPr>
              <w:t>本行董事长</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董事长</w:t>
            </w:r>
          </w:p>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/执行董事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黄振邦</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197</w:t>
            </w:r>
            <w:r>
              <w:rPr>
                <w:rFonts w:hint="eastAsia" w:cs="宋体" w:asciiTheme="minorEastAsia" w:hAnsiTheme="minorEastAsia" w:eastAsiaTheme="minorEastAsia"/>
                <w:kern w:val="0"/>
                <w:sz w:val="18"/>
                <w:szCs w:val="18"/>
                <w:highlight w:val="none"/>
                <w:lang w:val="en-US" w:eastAsia="zh-CN"/>
              </w:rPr>
              <w:t>0</w:t>
            </w:r>
            <w:r>
              <w:rPr>
                <w:rFonts w:hint="eastAsia" w:cs="宋体" w:asciiTheme="minorEastAsia" w:hAnsiTheme="minorEastAsia" w:eastAsiaTheme="minorEastAsia"/>
                <w:kern w:val="0"/>
                <w:sz w:val="18"/>
                <w:szCs w:val="18"/>
                <w:highlight w:val="none"/>
              </w:rPr>
              <w:t>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本行董事长</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职工董事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唐世旋</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1975年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17"/>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本行行长</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职工董事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温可炬</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1975年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本行董事会秘书、行政管理部总经理</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color w:val="auto"/>
                <w:kern w:val="0"/>
                <w:sz w:val="18"/>
                <w:szCs w:val="18"/>
                <w:highlight w:val="none"/>
              </w:rPr>
            </w:pPr>
            <w:r>
              <w:rPr>
                <w:rFonts w:hint="eastAsia" w:cs="宋体" w:asciiTheme="minorEastAsia" w:hAnsiTheme="minorEastAsia" w:eastAsiaTheme="minorEastAsia"/>
                <w:b/>
                <w:bCs/>
                <w:color w:val="auto"/>
                <w:kern w:val="0"/>
                <w:sz w:val="18"/>
                <w:szCs w:val="18"/>
                <w:highlight w:val="none"/>
              </w:rPr>
              <w:t>√</w:t>
            </w:r>
          </w:p>
        </w:tc>
      </w:tr>
      <w:tr>
        <w:tblPrEx>
          <w:tblCellMar>
            <w:top w:w="0" w:type="dxa"/>
            <w:left w:w="108" w:type="dxa"/>
            <w:bottom w:w="0" w:type="dxa"/>
            <w:right w:w="108" w:type="dxa"/>
          </w:tblCellMar>
        </w:tblPrEx>
        <w:trPr>
          <w:trHeight w:val="1087"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独立董事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李满枝</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1970年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jc w:val="left"/>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肇庆市宏利高投资发展有限公司（房地产开发企业）财务经理，肇庆市瑞兴房地产有限公司任财务负责人</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576"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rPr>
              <w:t>独立董事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阮傍根</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rPr>
              <w:t>1986年</w:t>
            </w:r>
          </w:p>
        </w:tc>
        <w:tc>
          <w:tcPr>
            <w:tcW w:w="2719" w:type="dxa"/>
            <w:tcBorders>
              <w:top w:val="nil"/>
              <w:left w:val="nil"/>
              <w:bottom w:val="single" w:color="auto" w:sz="4" w:space="0"/>
              <w:right w:val="single" w:color="auto" w:sz="4" w:space="0"/>
            </w:tcBorders>
            <w:shd w:val="clear" w:color="auto" w:fill="auto"/>
            <w:vAlign w:val="center"/>
          </w:tcPr>
          <w:p>
            <w:pPr>
              <w:widowControl/>
              <w:rPr>
                <w:rFonts w:hint="eastAsia"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rPr>
              <w:t>广东宁盛律师事务所律师</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color w:val="auto"/>
                <w:kern w:val="0"/>
                <w:sz w:val="18"/>
                <w:szCs w:val="18"/>
                <w:highlight w:val="none"/>
                <w:lang w:val="en-US" w:eastAsia="zh-CN" w:bidi="ar-SA"/>
              </w:rPr>
            </w:pPr>
            <w:r>
              <w:rPr>
                <w:rFonts w:hint="eastAsia" w:cs="宋体" w:asciiTheme="minorEastAsia" w:hAnsiTheme="minorEastAsia" w:eastAsiaTheme="minorEastAsia"/>
                <w:b/>
                <w:bCs/>
                <w:color w:val="auto"/>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rPr>
              <w:t>独立董事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廖月好</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女</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1987年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jc w:val="left"/>
              <w:rPr>
                <w:rFonts w:hint="eastAsia" w:cs="宋体" w:asciiTheme="minorEastAsia" w:hAnsiTheme="minorEastAsia" w:eastAsiaTheme="minorEastAsia"/>
                <w:color w:val="auto"/>
                <w:kern w:val="0"/>
                <w:sz w:val="18"/>
                <w:szCs w:val="18"/>
                <w:highlight w:val="none"/>
                <w:lang w:val="en-US" w:eastAsia="zh-CN" w:bidi="ar-SA"/>
              </w:rPr>
            </w:pPr>
            <w:r>
              <w:rPr>
                <w:rFonts w:hint="eastAsia" w:cs="宋体" w:asciiTheme="minorEastAsia" w:hAnsiTheme="minorEastAsia" w:eastAsiaTheme="minorEastAsia"/>
                <w:color w:val="auto"/>
                <w:kern w:val="0"/>
                <w:sz w:val="18"/>
                <w:szCs w:val="18"/>
                <w:highlight w:val="none"/>
                <w:lang w:val="en-US" w:eastAsia="zh-CN"/>
              </w:rPr>
              <w:t>肇庆西江财税服务有限公司法定代表人、财务经理</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color w:val="auto"/>
                <w:kern w:val="0"/>
                <w:sz w:val="18"/>
                <w:szCs w:val="18"/>
                <w:highlight w:val="none"/>
                <w:lang w:val="en-US" w:eastAsia="zh-CN" w:bidi="ar-SA"/>
              </w:rPr>
            </w:pPr>
            <w:r>
              <w:rPr>
                <w:rFonts w:hint="eastAsia" w:cs="宋体" w:asciiTheme="minorEastAsia" w:hAnsiTheme="minorEastAsia" w:eastAsiaTheme="minorEastAsia"/>
                <w:b/>
                <w:bCs/>
                <w:color w:val="auto"/>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股权董事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王国峰</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w:t>
            </w:r>
            <w:r>
              <w:rPr>
                <w:rFonts w:hint="eastAsia" w:cs="宋体" w:asciiTheme="minorEastAsia" w:hAnsiTheme="minorEastAsia" w:eastAsiaTheme="minorEastAsia"/>
                <w:kern w:val="0"/>
                <w:sz w:val="18"/>
                <w:szCs w:val="18"/>
                <w:highlight w:val="none"/>
                <w:lang w:val="en-US" w:eastAsia="zh-CN"/>
              </w:rPr>
              <w:t>78</w:t>
            </w:r>
            <w:r>
              <w:rPr>
                <w:rFonts w:hint="eastAsia" w:cs="宋体" w:asciiTheme="minorEastAsia" w:hAnsiTheme="minorEastAsia" w:eastAsiaTheme="minorEastAsia"/>
                <w:kern w:val="0"/>
                <w:sz w:val="18"/>
                <w:szCs w:val="18"/>
                <w:highlight w:val="none"/>
              </w:rPr>
              <w:t>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珠海农商银行风险管理部总经理</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股权董事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刘剑忠</w:t>
            </w:r>
          </w:p>
        </w:tc>
        <w:tc>
          <w:tcPr>
            <w:tcW w:w="71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1977年</w:t>
            </w:r>
          </w:p>
        </w:tc>
        <w:tc>
          <w:tcPr>
            <w:tcW w:w="2719" w:type="dxa"/>
            <w:tcBorders>
              <w:top w:val="nil"/>
              <w:left w:val="nil"/>
              <w:bottom w:val="single" w:color="auto" w:sz="4" w:space="0"/>
              <w:right w:val="single" w:color="auto" w:sz="4" w:space="0"/>
            </w:tcBorders>
            <w:shd w:val="clear" w:color="auto" w:fill="auto"/>
            <w:vAlign w:val="center"/>
          </w:tcPr>
          <w:p>
            <w:pPr>
              <w:widowControl/>
              <w:spacing w:line="240" w:lineRule="exact"/>
              <w:ind w:left="4" w:leftChars="-8" w:hanging="21" w:hangingChars="12"/>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rPr>
              <w:t>肇庆农商</w:t>
            </w:r>
            <w:r>
              <w:rPr>
                <w:rFonts w:hint="eastAsia" w:cs="宋体" w:asciiTheme="minorEastAsia" w:hAnsiTheme="minorEastAsia" w:eastAsiaTheme="minorEastAsia"/>
                <w:kern w:val="0"/>
                <w:sz w:val="18"/>
                <w:szCs w:val="18"/>
                <w:highlight w:val="none"/>
                <w:lang w:val="en-US" w:eastAsia="zh-CN"/>
              </w:rPr>
              <w:t>银</w:t>
            </w:r>
            <w:r>
              <w:rPr>
                <w:rFonts w:hint="eastAsia" w:cs="宋体" w:asciiTheme="minorEastAsia" w:hAnsiTheme="minorEastAsia" w:eastAsiaTheme="minorEastAsia"/>
                <w:kern w:val="0"/>
                <w:sz w:val="18"/>
                <w:szCs w:val="18"/>
                <w:highlight w:val="none"/>
              </w:rPr>
              <w:t>行</w:t>
            </w:r>
            <w:r>
              <w:rPr>
                <w:rFonts w:hint="eastAsia" w:cs="宋体" w:asciiTheme="minorEastAsia" w:hAnsiTheme="minorEastAsia" w:eastAsiaTheme="minorEastAsia"/>
                <w:kern w:val="0"/>
                <w:sz w:val="18"/>
                <w:szCs w:val="18"/>
                <w:highlight w:val="none"/>
                <w:lang w:val="en-US" w:eastAsia="zh-CN"/>
              </w:rPr>
              <w:t>城西支行行长</w:t>
            </w:r>
          </w:p>
        </w:tc>
        <w:tc>
          <w:tcPr>
            <w:tcW w:w="63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股权董事</w:t>
            </w:r>
          </w:p>
        </w:tc>
        <w:tc>
          <w:tcPr>
            <w:tcW w:w="8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许飞</w:t>
            </w: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1982年</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ind w:left="4" w:leftChars="-8" w:hanging="21" w:hangingChars="12"/>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肇庆市祥信会计师事务所有限公司广宁办事处分所所长</w:t>
            </w: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b/>
                <w:bCs/>
                <w:kern w:val="0"/>
                <w:sz w:val="18"/>
                <w:szCs w:val="18"/>
                <w:highlight w:val="none"/>
              </w:rPr>
              <w:t>√</w:t>
            </w:r>
          </w:p>
        </w:tc>
      </w:tr>
    </w:tbl>
    <w:p>
      <w:pPr>
        <w:pStyle w:val="4"/>
        <w:ind w:left="0" w:leftChars="0" w:firstLine="0" w:firstLineChars="0"/>
        <w:rPr>
          <w:highlight w:val="none"/>
        </w:rPr>
      </w:pPr>
    </w:p>
    <w:p>
      <w:pPr>
        <w:pStyle w:val="4"/>
        <w:spacing w:line="360" w:lineRule="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val="en-US" w:eastAsia="zh-CN"/>
        </w:rPr>
        <w:t>二</w:t>
      </w:r>
      <w:r>
        <w:rPr>
          <w:rFonts w:hint="eastAsia" w:ascii="楷体" w:hAnsi="楷体" w:eastAsia="楷体" w:cs="楷体"/>
          <w:sz w:val="32"/>
          <w:szCs w:val="32"/>
          <w:highlight w:val="none"/>
        </w:rPr>
        <w:t>）</w:t>
      </w:r>
      <w:r>
        <w:rPr>
          <w:rFonts w:hint="eastAsia" w:ascii="楷体" w:hAnsi="楷体" w:eastAsia="楷体" w:cs="楷体"/>
          <w:sz w:val="32"/>
          <w:szCs w:val="32"/>
          <w:highlight w:val="none"/>
          <w:lang w:val="en-US" w:eastAsia="zh-CN"/>
        </w:rPr>
        <w:t>监事</w:t>
      </w:r>
      <w:r>
        <w:rPr>
          <w:rFonts w:hint="eastAsia" w:ascii="仿宋_GB2312" w:hAnsi="仿宋_GB2312" w:eastAsia="仿宋_GB2312" w:cs="仿宋_GB2312"/>
          <w:color w:val="auto"/>
          <w:kern w:val="2"/>
          <w:sz w:val="32"/>
          <w:szCs w:val="32"/>
          <w:highlight w:val="none"/>
          <w:lang w:val="en-US" w:eastAsia="zh-CN" w:bidi="ar-SA"/>
        </w:rPr>
        <w:t>（于2025年12月31日免去广宁农商银行第二届监事会全体监事，并同步撤销广宁农商银行监事会）</w:t>
      </w:r>
    </w:p>
    <w:p>
      <w:pPr>
        <w:pStyle w:val="4"/>
        <w:rPr>
          <w:highlight w:val="none"/>
        </w:rPr>
      </w:pPr>
    </w:p>
    <w:tbl>
      <w:tblPr>
        <w:tblStyle w:val="20"/>
        <w:tblW w:w="7058" w:type="dxa"/>
        <w:jc w:val="center"/>
        <w:tblLayout w:type="fixed"/>
        <w:tblCellMar>
          <w:top w:w="0" w:type="dxa"/>
          <w:left w:w="108" w:type="dxa"/>
          <w:bottom w:w="0" w:type="dxa"/>
          <w:right w:w="108" w:type="dxa"/>
        </w:tblCellMar>
      </w:tblPr>
      <w:tblGrid>
        <w:gridCol w:w="1226"/>
        <w:gridCol w:w="844"/>
        <w:gridCol w:w="694"/>
        <w:gridCol w:w="918"/>
        <w:gridCol w:w="2691"/>
        <w:gridCol w:w="685"/>
      </w:tblGrid>
      <w:tr>
        <w:tblPrEx>
          <w:tblCellMar>
            <w:top w:w="0" w:type="dxa"/>
            <w:left w:w="108" w:type="dxa"/>
            <w:bottom w:w="0" w:type="dxa"/>
            <w:right w:w="108" w:type="dxa"/>
          </w:tblCellMar>
        </w:tblPrEx>
        <w:trPr>
          <w:trHeight w:val="624" w:hRule="exac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职 务</w:t>
            </w:r>
          </w:p>
        </w:tc>
        <w:tc>
          <w:tcPr>
            <w:tcW w:w="8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姓 名</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性别</w:t>
            </w:r>
          </w:p>
        </w:tc>
        <w:tc>
          <w:tcPr>
            <w:tcW w:w="9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出生</w:t>
            </w:r>
          </w:p>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年份</w:t>
            </w:r>
          </w:p>
        </w:tc>
        <w:tc>
          <w:tcPr>
            <w:tcW w:w="2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任职单位及职务</w:t>
            </w:r>
          </w:p>
        </w:tc>
        <w:tc>
          <w:tcPr>
            <w:tcW w:w="6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highlight w:val="none"/>
              </w:rPr>
            </w:pPr>
            <w:r>
              <w:rPr>
                <w:rFonts w:hint="eastAsia" w:ascii="宋体" w:hAnsi="宋体" w:cs="宋体"/>
                <w:b/>
                <w:bCs/>
                <w:kern w:val="0"/>
                <w:sz w:val="18"/>
                <w:szCs w:val="18"/>
                <w:highlight w:val="none"/>
              </w:rPr>
              <w:t>领取薪酬(√)</w:t>
            </w:r>
          </w:p>
        </w:tc>
      </w:tr>
      <w:tr>
        <w:tblPrEx>
          <w:tblCellMar>
            <w:top w:w="0" w:type="dxa"/>
            <w:left w:w="108" w:type="dxa"/>
            <w:bottom w:w="0" w:type="dxa"/>
            <w:right w:w="108" w:type="dxa"/>
          </w:tblCellMar>
        </w:tblPrEx>
        <w:trPr>
          <w:trHeight w:val="624" w:hRule="exac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监事长</w:t>
            </w:r>
          </w:p>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w:t>
            </w:r>
            <w:r>
              <w:rPr>
                <w:rFonts w:hint="eastAsia" w:cs="宋体" w:asciiTheme="minorEastAsia" w:hAnsiTheme="minorEastAsia" w:eastAsiaTheme="minorEastAsia"/>
                <w:kern w:val="0"/>
                <w:sz w:val="18"/>
                <w:szCs w:val="18"/>
                <w:highlight w:val="none"/>
              </w:rPr>
              <w:t>职工监事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赖志杰</w:t>
            </w:r>
          </w:p>
        </w:tc>
        <w:tc>
          <w:tcPr>
            <w:tcW w:w="694"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男</w:t>
            </w:r>
          </w:p>
        </w:tc>
        <w:tc>
          <w:tcPr>
            <w:tcW w:w="918" w:type="dxa"/>
            <w:tcBorders>
              <w:top w:val="nil"/>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1983年</w:t>
            </w:r>
          </w:p>
        </w:tc>
        <w:tc>
          <w:tcPr>
            <w:tcW w:w="2691" w:type="dxa"/>
            <w:tcBorders>
              <w:top w:val="nil"/>
              <w:left w:val="nil"/>
              <w:bottom w:val="single" w:color="auto" w:sz="4" w:space="0"/>
              <w:right w:val="single" w:color="auto" w:sz="4" w:space="0"/>
            </w:tcBorders>
            <w:shd w:val="clear" w:color="auto" w:fill="auto"/>
            <w:vAlign w:val="center"/>
          </w:tcPr>
          <w:p>
            <w:pPr>
              <w:widowControl/>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本行监事长</w:t>
            </w:r>
          </w:p>
        </w:tc>
        <w:tc>
          <w:tcPr>
            <w:tcW w:w="685"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职工监事</w:t>
            </w:r>
          </w:p>
        </w:tc>
        <w:tc>
          <w:tcPr>
            <w:tcW w:w="84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吕燕敏</w:t>
            </w:r>
          </w:p>
        </w:tc>
        <w:tc>
          <w:tcPr>
            <w:tcW w:w="69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女</w:t>
            </w:r>
          </w:p>
        </w:tc>
        <w:tc>
          <w:tcPr>
            <w:tcW w:w="918"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1983年</w:t>
            </w:r>
          </w:p>
        </w:tc>
        <w:tc>
          <w:tcPr>
            <w:tcW w:w="2691" w:type="dxa"/>
            <w:tcBorders>
              <w:top w:val="nil"/>
              <w:left w:val="nil"/>
              <w:bottom w:val="single" w:color="auto" w:sz="4" w:space="0"/>
              <w:right w:val="single" w:color="auto" w:sz="4" w:space="0"/>
            </w:tcBorders>
            <w:shd w:val="clear" w:color="auto" w:fill="auto"/>
            <w:vAlign w:val="center"/>
          </w:tcPr>
          <w:p>
            <w:pPr>
              <w:widowControl/>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本行监事会办公室副总经理（主持工作）</w:t>
            </w:r>
          </w:p>
        </w:tc>
        <w:tc>
          <w:tcPr>
            <w:tcW w:w="685"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外部监事</w:t>
            </w:r>
          </w:p>
        </w:tc>
        <w:tc>
          <w:tcPr>
            <w:tcW w:w="8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王淑华</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女</w:t>
            </w:r>
          </w:p>
        </w:tc>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198</w:t>
            </w:r>
            <w:r>
              <w:rPr>
                <w:rFonts w:hint="eastAsia" w:cs="宋体" w:asciiTheme="minorEastAsia" w:hAnsiTheme="minorEastAsia" w:eastAsiaTheme="minorEastAsia"/>
                <w:kern w:val="0"/>
                <w:sz w:val="18"/>
                <w:szCs w:val="18"/>
                <w:highlight w:val="none"/>
                <w:lang w:val="en-US" w:eastAsia="zh-CN"/>
              </w:rPr>
              <w:t>9</w:t>
            </w:r>
            <w:r>
              <w:rPr>
                <w:rFonts w:hint="eastAsia" w:cs="宋体" w:asciiTheme="minorEastAsia" w:hAnsiTheme="minorEastAsia" w:eastAsiaTheme="minorEastAsia"/>
                <w:kern w:val="0"/>
                <w:sz w:val="18"/>
                <w:szCs w:val="18"/>
                <w:highlight w:val="none"/>
              </w:rPr>
              <w:t>年</w:t>
            </w:r>
          </w:p>
        </w:tc>
        <w:tc>
          <w:tcPr>
            <w:tcW w:w="26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肇庆中鹏会计师事务所有限公司任职副主任</w:t>
            </w:r>
          </w:p>
        </w:tc>
        <w:tc>
          <w:tcPr>
            <w:tcW w:w="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外部监事</w:t>
            </w:r>
          </w:p>
        </w:tc>
        <w:tc>
          <w:tcPr>
            <w:tcW w:w="8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张一江</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男</w:t>
            </w:r>
          </w:p>
        </w:tc>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19</w:t>
            </w:r>
            <w:r>
              <w:rPr>
                <w:rFonts w:hint="eastAsia" w:cs="宋体" w:asciiTheme="minorEastAsia" w:hAnsiTheme="minorEastAsia" w:eastAsiaTheme="minorEastAsia"/>
                <w:kern w:val="0"/>
                <w:sz w:val="18"/>
                <w:szCs w:val="18"/>
                <w:highlight w:val="none"/>
                <w:lang w:val="en-US" w:eastAsia="zh-CN"/>
              </w:rPr>
              <w:t>74</w:t>
            </w:r>
            <w:r>
              <w:rPr>
                <w:rFonts w:hint="eastAsia" w:cs="宋体" w:asciiTheme="minorEastAsia" w:hAnsiTheme="minorEastAsia" w:eastAsiaTheme="minorEastAsia"/>
                <w:kern w:val="0"/>
                <w:sz w:val="18"/>
                <w:szCs w:val="18"/>
                <w:highlight w:val="none"/>
              </w:rPr>
              <w:t>年</w:t>
            </w:r>
          </w:p>
        </w:tc>
        <w:tc>
          <w:tcPr>
            <w:tcW w:w="26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广东金融学院肇庆校区继续教育科正科级</w:t>
            </w:r>
          </w:p>
        </w:tc>
        <w:tc>
          <w:tcPr>
            <w:tcW w:w="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b/>
                <w:bCs/>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股权监事</w:t>
            </w:r>
          </w:p>
        </w:tc>
        <w:tc>
          <w:tcPr>
            <w:tcW w:w="8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范显灵</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女</w:t>
            </w:r>
          </w:p>
        </w:tc>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19</w:t>
            </w:r>
            <w:r>
              <w:rPr>
                <w:rFonts w:hint="eastAsia" w:cs="宋体" w:asciiTheme="minorEastAsia" w:hAnsiTheme="minorEastAsia" w:eastAsiaTheme="minorEastAsia"/>
                <w:kern w:val="0"/>
                <w:sz w:val="18"/>
                <w:szCs w:val="18"/>
                <w:highlight w:val="none"/>
                <w:lang w:val="en-US" w:eastAsia="zh-CN"/>
              </w:rPr>
              <w:t>77</w:t>
            </w:r>
            <w:r>
              <w:rPr>
                <w:rFonts w:hint="eastAsia" w:cs="宋体" w:asciiTheme="minorEastAsia" w:hAnsiTheme="minorEastAsia" w:eastAsiaTheme="minorEastAsia"/>
                <w:kern w:val="0"/>
                <w:sz w:val="18"/>
                <w:szCs w:val="18"/>
                <w:highlight w:val="none"/>
              </w:rPr>
              <w:t>年</w:t>
            </w:r>
          </w:p>
        </w:tc>
        <w:tc>
          <w:tcPr>
            <w:tcW w:w="26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rPr>
              <w:t>肇庆市锦绣山河房地产开发有限公司财务管理部财务主管</w:t>
            </w:r>
          </w:p>
        </w:tc>
        <w:tc>
          <w:tcPr>
            <w:tcW w:w="6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b/>
                <w:bCs/>
                <w:kern w:val="0"/>
                <w:sz w:val="18"/>
                <w:szCs w:val="18"/>
                <w:highlight w:val="none"/>
              </w:rPr>
              <w:t>√</w:t>
            </w:r>
          </w:p>
        </w:tc>
      </w:tr>
    </w:tbl>
    <w:p>
      <w:pPr>
        <w:tabs>
          <w:tab w:val="left" w:pos="1980"/>
        </w:tabs>
        <w:spacing w:line="360" w:lineRule="auto"/>
        <w:ind w:firstLine="640" w:firstLineChars="200"/>
        <w:rPr>
          <w:rFonts w:hint="eastAsia" w:ascii="楷体_GB2312" w:hAnsi="Times New Roman" w:eastAsia="楷体_GB2312" w:cs="Times New Roman"/>
          <w:sz w:val="32"/>
          <w:szCs w:val="32"/>
          <w:highlight w:val="none"/>
          <w:lang w:eastAsia="zh-CN"/>
        </w:rPr>
      </w:pPr>
      <w:r>
        <w:rPr>
          <w:rFonts w:hint="eastAsia" w:ascii="楷体_GB2312" w:hAnsi="Times New Roman" w:eastAsia="楷体_GB2312" w:cs="Times New Roman"/>
          <w:sz w:val="32"/>
          <w:szCs w:val="32"/>
          <w:highlight w:val="none"/>
        </w:rPr>
        <w:t>（</w:t>
      </w:r>
      <w:r>
        <w:rPr>
          <w:rFonts w:hint="eastAsia" w:ascii="楷体_GB2312" w:eastAsia="楷体_GB2312" w:cs="Times New Roman"/>
          <w:sz w:val="32"/>
          <w:szCs w:val="32"/>
          <w:highlight w:val="none"/>
          <w:lang w:val="en-US" w:eastAsia="zh-CN"/>
        </w:rPr>
        <w:t>三</w:t>
      </w:r>
      <w:r>
        <w:rPr>
          <w:rFonts w:hint="eastAsia" w:ascii="楷体_GB2312" w:hAnsi="Times New Roman" w:eastAsia="楷体_GB2312" w:cs="Times New Roman"/>
          <w:sz w:val="32"/>
          <w:szCs w:val="32"/>
          <w:highlight w:val="none"/>
        </w:rPr>
        <w:t>）高级管理人员</w:t>
      </w:r>
    </w:p>
    <w:tbl>
      <w:tblPr>
        <w:tblStyle w:val="20"/>
        <w:tblW w:w="6626" w:type="dxa"/>
        <w:jc w:val="center"/>
        <w:tblLayout w:type="fixed"/>
        <w:tblCellMar>
          <w:top w:w="0" w:type="dxa"/>
          <w:left w:w="108" w:type="dxa"/>
          <w:bottom w:w="0" w:type="dxa"/>
          <w:right w:w="108" w:type="dxa"/>
        </w:tblCellMar>
      </w:tblPr>
      <w:tblGrid>
        <w:gridCol w:w="1518"/>
        <w:gridCol w:w="937"/>
        <w:gridCol w:w="845"/>
        <w:gridCol w:w="874"/>
        <w:gridCol w:w="1333"/>
        <w:gridCol w:w="1119"/>
      </w:tblGrid>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职 务</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姓 名</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性别</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出生</w:t>
            </w:r>
          </w:p>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年份</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金融从业年限</w:t>
            </w:r>
          </w:p>
        </w:tc>
        <w:tc>
          <w:tcPr>
            <w:tcW w:w="11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kern w:val="0"/>
                <w:sz w:val="18"/>
                <w:szCs w:val="18"/>
                <w:highlight w:val="none"/>
              </w:rPr>
            </w:pPr>
            <w:r>
              <w:rPr>
                <w:rFonts w:hint="eastAsia" w:cs="宋体" w:asciiTheme="minorEastAsia" w:hAnsiTheme="minorEastAsia" w:eastAsiaTheme="minorEastAsia"/>
                <w:b/>
                <w:bCs/>
                <w:kern w:val="0"/>
                <w:sz w:val="18"/>
                <w:szCs w:val="18"/>
                <w:highlight w:val="none"/>
              </w:rPr>
              <w:t>领取薪酬(√)</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Cs/>
                <w:color w:val="auto"/>
                <w:kern w:val="0"/>
                <w:sz w:val="18"/>
                <w:szCs w:val="18"/>
                <w:highlight w:val="none"/>
              </w:rPr>
            </w:pPr>
            <w:r>
              <w:rPr>
                <w:rFonts w:hint="eastAsia" w:cs="宋体" w:asciiTheme="minorEastAsia" w:hAnsiTheme="minorEastAsia" w:eastAsiaTheme="minorEastAsia"/>
                <w:bCs/>
                <w:color w:val="auto"/>
                <w:kern w:val="0"/>
                <w:sz w:val="18"/>
                <w:szCs w:val="18"/>
                <w:highlight w:val="none"/>
              </w:rPr>
              <w:t>行长</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lang w:val="en-US" w:eastAsia="zh-CN"/>
              </w:rPr>
              <w:t>唐世旋</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color w:val="auto"/>
                <w:kern w:val="0"/>
                <w:sz w:val="18"/>
                <w:szCs w:val="18"/>
                <w:highlight w:val="none"/>
              </w:rPr>
              <w:t>197</w:t>
            </w:r>
            <w:r>
              <w:rPr>
                <w:rFonts w:hint="eastAsia" w:cs="宋体" w:asciiTheme="minorEastAsia" w:hAnsiTheme="minorEastAsia" w:eastAsiaTheme="minorEastAsia"/>
                <w:color w:val="auto"/>
                <w:kern w:val="0"/>
                <w:sz w:val="18"/>
                <w:szCs w:val="18"/>
                <w:highlight w:val="none"/>
                <w:lang w:val="en-US" w:eastAsia="zh-CN"/>
              </w:rPr>
              <w:t>5</w:t>
            </w:r>
            <w:r>
              <w:rPr>
                <w:rFonts w:hint="eastAsia" w:cs="宋体" w:asciiTheme="minorEastAsia" w:hAnsiTheme="minorEastAsia" w:eastAsiaTheme="minorEastAsia"/>
                <w:color w:val="auto"/>
                <w:kern w:val="0"/>
                <w:sz w:val="18"/>
                <w:szCs w:val="18"/>
                <w:highlight w:val="none"/>
              </w:rPr>
              <w:t>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color w:val="auto"/>
                <w:kern w:val="0"/>
                <w:sz w:val="18"/>
                <w:szCs w:val="18"/>
                <w:highlight w:val="none"/>
                <w:lang w:val="en-US" w:eastAsia="zh-CN"/>
              </w:rPr>
              <w:t>28</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auto"/>
                <w:sz w:val="18"/>
                <w:szCs w:val="18"/>
                <w:highlight w:val="none"/>
              </w:rPr>
            </w:pPr>
            <w:r>
              <w:rPr>
                <w:rFonts w:hint="eastAsia" w:cs="宋体" w:asciiTheme="minorEastAsia" w:hAnsiTheme="minorEastAsia" w:eastAsiaTheme="minorEastAsia"/>
                <w:b/>
                <w:bCs/>
                <w:color w:val="auto"/>
                <w:kern w:val="0"/>
                <w:sz w:val="18"/>
                <w:szCs w:val="18"/>
                <w:highlight w:val="none"/>
              </w:rPr>
              <w:t>√</w:t>
            </w:r>
          </w:p>
        </w:tc>
      </w:tr>
      <w:tr>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副行长</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廖文</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197</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30</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副行长</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lang w:val="en-US" w:eastAsia="zh-CN"/>
              </w:rPr>
              <w:t>毛树安</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w:t>
            </w:r>
            <w:r>
              <w:rPr>
                <w:rFonts w:hint="eastAsia" w:cs="宋体" w:asciiTheme="minorEastAsia" w:hAnsiTheme="minorEastAsia" w:eastAsiaTheme="minorEastAsia"/>
                <w:kern w:val="0"/>
                <w:sz w:val="18"/>
                <w:szCs w:val="18"/>
                <w:highlight w:val="none"/>
                <w:lang w:val="en-US" w:eastAsia="zh-CN"/>
              </w:rPr>
              <w:t>70</w:t>
            </w:r>
            <w:r>
              <w:rPr>
                <w:rFonts w:hint="eastAsia" w:cs="宋体" w:asciiTheme="minorEastAsia" w:hAnsiTheme="minorEastAsia" w:eastAsiaTheme="minorEastAsia"/>
                <w:kern w:val="0"/>
                <w:sz w:val="18"/>
                <w:szCs w:val="18"/>
                <w:highlight w:val="none"/>
              </w:rPr>
              <w:t>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31</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董事会秘书</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温可炬</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1975年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30</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合规部门</w:t>
            </w:r>
          </w:p>
          <w:p>
            <w:pPr>
              <w:widowControl/>
              <w:adjustRightInd w:val="0"/>
              <w:snapToGrid w:val="0"/>
              <w:spacing w:line="240" w:lineRule="atLeast"/>
              <w:jc w:val="center"/>
              <w:rPr>
                <w:rFonts w:cs="宋体" w:asciiTheme="minorEastAsia" w:hAnsiTheme="minorEastAsia" w:eastAsiaTheme="minorEastAsia"/>
                <w:bCs/>
                <w:color w:val="auto"/>
                <w:kern w:val="0"/>
                <w:sz w:val="18"/>
                <w:szCs w:val="18"/>
                <w:highlight w:val="none"/>
              </w:rPr>
            </w:pPr>
            <w:r>
              <w:rPr>
                <w:rFonts w:hint="eastAsia" w:cs="宋体" w:asciiTheme="minorEastAsia" w:hAnsiTheme="minorEastAsia" w:eastAsiaTheme="minorEastAsia"/>
                <w:bCs/>
                <w:kern w:val="0"/>
                <w:sz w:val="18"/>
                <w:szCs w:val="18"/>
                <w:highlight w:val="none"/>
              </w:rPr>
              <w:t>负责人</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梁红成</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1973年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kern w:val="0"/>
                <w:sz w:val="18"/>
                <w:szCs w:val="18"/>
                <w:highlight w:val="none"/>
              </w:rPr>
              <w:t>3</w:t>
            </w:r>
            <w:r>
              <w:rPr>
                <w:rFonts w:hint="eastAsia" w:cs="宋体" w:asciiTheme="minorEastAsia" w:hAnsiTheme="minorEastAsia" w:eastAsiaTheme="minorEastAsia"/>
                <w:kern w:val="0"/>
                <w:sz w:val="18"/>
                <w:szCs w:val="18"/>
                <w:highlight w:val="none"/>
                <w:lang w:val="en-US" w:eastAsia="zh-CN"/>
              </w:rPr>
              <w:t>6</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auto"/>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财务部门</w:t>
            </w:r>
          </w:p>
          <w:p>
            <w:pPr>
              <w:widowControl/>
              <w:adjustRightInd w:val="0"/>
              <w:snapToGrid w:val="0"/>
              <w:spacing w:line="240" w:lineRule="atLeast"/>
              <w:jc w:val="center"/>
              <w:rPr>
                <w:rFonts w:asciiTheme="minorEastAsia" w:hAnsiTheme="minorEastAsia" w:eastAsiaTheme="minorEastAsia"/>
                <w:color w:val="auto"/>
                <w:sz w:val="18"/>
                <w:szCs w:val="18"/>
                <w:highlight w:val="none"/>
              </w:rPr>
            </w:pPr>
            <w:r>
              <w:rPr>
                <w:rFonts w:hint="eastAsia" w:cs="宋体" w:asciiTheme="minorEastAsia" w:hAnsiTheme="minorEastAsia" w:eastAsiaTheme="minorEastAsia"/>
                <w:bCs/>
                <w:kern w:val="0"/>
                <w:sz w:val="18"/>
                <w:szCs w:val="18"/>
                <w:highlight w:val="none"/>
              </w:rPr>
              <w:t>负责人</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张体君</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男</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198</w:t>
            </w:r>
            <w:r>
              <w:rPr>
                <w:rFonts w:hint="eastAsia" w:cs="宋体" w:asciiTheme="minorEastAsia" w:hAnsiTheme="minorEastAsia" w:eastAsiaTheme="minorEastAsia"/>
                <w:kern w:val="0"/>
                <w:sz w:val="18"/>
                <w:szCs w:val="18"/>
                <w:highlight w:val="none"/>
                <w:lang w:val="en-US" w:eastAsia="zh-CN"/>
              </w:rPr>
              <w:t>5</w:t>
            </w:r>
            <w:r>
              <w:rPr>
                <w:rFonts w:hint="eastAsia" w:cs="宋体" w:asciiTheme="minorEastAsia" w:hAnsiTheme="minorEastAsia" w:eastAsiaTheme="minorEastAsia"/>
                <w:kern w:val="0"/>
                <w:sz w:val="18"/>
                <w:szCs w:val="18"/>
                <w:highlight w:val="none"/>
              </w:rPr>
              <w:t>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18"/>
                <w:szCs w:val="18"/>
                <w:highlight w:val="none"/>
                <w:lang w:val="en-US" w:eastAsia="zh-CN"/>
              </w:rPr>
            </w:pPr>
            <w:r>
              <w:rPr>
                <w:rFonts w:hint="eastAsia" w:cs="宋体" w:asciiTheme="minorEastAsia" w:hAnsiTheme="minorEastAsia" w:eastAsiaTheme="minorEastAsia"/>
                <w:kern w:val="0"/>
                <w:sz w:val="18"/>
                <w:szCs w:val="18"/>
                <w:highlight w:val="none"/>
              </w:rPr>
              <w:t>1</w:t>
            </w:r>
            <w:r>
              <w:rPr>
                <w:rFonts w:hint="eastAsia" w:cs="宋体" w:asciiTheme="minorEastAsia" w:hAnsiTheme="minorEastAsia" w:eastAsiaTheme="minorEastAsia"/>
                <w:kern w:val="0"/>
                <w:sz w:val="18"/>
                <w:szCs w:val="18"/>
                <w:highlight w:val="none"/>
                <w:lang w:val="en-US" w:eastAsia="zh-CN"/>
              </w:rPr>
              <w:t>8</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color w:val="auto"/>
                <w:sz w:val="18"/>
                <w:szCs w:val="18"/>
                <w:highlight w:val="none"/>
              </w:rPr>
            </w:pPr>
            <w:r>
              <w:rPr>
                <w:rFonts w:hint="eastAsia" w:cs="宋体" w:asciiTheme="minorEastAsia" w:hAnsiTheme="minorEastAsia" w:eastAsiaTheme="minorEastAsia"/>
                <w:b/>
                <w:bCs/>
                <w:kern w:val="0"/>
                <w:sz w:val="18"/>
                <w:szCs w:val="18"/>
                <w:highlight w:val="none"/>
              </w:rPr>
              <w:t>√</w:t>
            </w:r>
          </w:p>
        </w:tc>
      </w:tr>
      <w:tr>
        <w:tblPrEx>
          <w:tblCellMar>
            <w:top w:w="0" w:type="dxa"/>
            <w:left w:w="108" w:type="dxa"/>
            <w:bottom w:w="0" w:type="dxa"/>
            <w:right w:w="108" w:type="dxa"/>
          </w:tblCellMar>
        </w:tblPrEx>
        <w:trPr>
          <w:trHeight w:val="624" w:hRule="exact"/>
          <w:jc w:val="center"/>
        </w:trPr>
        <w:tc>
          <w:tcPr>
            <w:tcW w:w="15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rPr>
                <w:rFonts w:cs="宋体" w:asciiTheme="minorEastAsia" w:hAnsiTheme="minorEastAsia" w:eastAsiaTheme="minorEastAsia"/>
                <w:bCs/>
                <w:kern w:val="0"/>
                <w:sz w:val="18"/>
                <w:szCs w:val="18"/>
                <w:highlight w:val="none"/>
              </w:rPr>
            </w:pPr>
            <w:r>
              <w:rPr>
                <w:rFonts w:hint="eastAsia" w:cs="宋体" w:asciiTheme="minorEastAsia" w:hAnsiTheme="minorEastAsia" w:eastAsiaTheme="minorEastAsia"/>
                <w:bCs/>
                <w:kern w:val="0"/>
                <w:sz w:val="18"/>
                <w:szCs w:val="18"/>
                <w:highlight w:val="none"/>
              </w:rPr>
              <w:t>内审部门</w:t>
            </w:r>
          </w:p>
          <w:p>
            <w:pPr>
              <w:jc w:val="center"/>
              <w:rPr>
                <w:rFonts w:hint="eastAsia" w:cs="宋体" w:asciiTheme="minorEastAsia" w:hAnsiTheme="minorEastAsia" w:eastAsiaTheme="minorEastAsia"/>
                <w:bCs/>
                <w:color w:val="auto"/>
                <w:kern w:val="0"/>
                <w:sz w:val="18"/>
                <w:szCs w:val="18"/>
                <w:highlight w:val="none"/>
              </w:rPr>
            </w:pPr>
            <w:r>
              <w:rPr>
                <w:rFonts w:hint="eastAsia" w:cs="宋体" w:asciiTheme="minorEastAsia" w:hAnsiTheme="minorEastAsia" w:eastAsiaTheme="minorEastAsia"/>
                <w:bCs/>
                <w:kern w:val="0"/>
                <w:sz w:val="18"/>
                <w:szCs w:val="18"/>
                <w:highlight w:val="none"/>
              </w:rPr>
              <w:t>负责人</w:t>
            </w:r>
          </w:p>
        </w:tc>
        <w:tc>
          <w:tcPr>
            <w:tcW w:w="93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郑羽君</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女</w:t>
            </w:r>
          </w:p>
        </w:tc>
        <w:tc>
          <w:tcPr>
            <w:tcW w:w="87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18"/>
                <w:szCs w:val="18"/>
                <w:highlight w:val="none"/>
              </w:rPr>
            </w:pPr>
            <w:r>
              <w:rPr>
                <w:rFonts w:hint="eastAsia" w:cs="宋体" w:asciiTheme="minorEastAsia" w:hAnsiTheme="minorEastAsia" w:eastAsiaTheme="minorEastAsia"/>
                <w:kern w:val="0"/>
                <w:sz w:val="18"/>
                <w:szCs w:val="18"/>
                <w:highlight w:val="none"/>
              </w:rPr>
              <w:t>1982年</w:t>
            </w:r>
          </w:p>
        </w:tc>
        <w:tc>
          <w:tcPr>
            <w:tcW w:w="133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jc w:val="center"/>
              <w:rPr>
                <w:rFonts w:hint="default"/>
                <w:highlight w:val="none"/>
                <w:lang w:val="en-US" w:eastAsia="zh-CN"/>
              </w:rPr>
            </w:pPr>
            <w:r>
              <w:rPr>
                <w:rFonts w:hint="eastAsia" w:cs="宋体" w:asciiTheme="minorEastAsia" w:hAnsiTheme="minorEastAsia" w:eastAsiaTheme="minorEastAsia"/>
                <w:kern w:val="0"/>
                <w:sz w:val="18"/>
                <w:szCs w:val="18"/>
                <w:highlight w:val="none"/>
                <w:lang w:val="en-US" w:eastAsia="zh-CN"/>
              </w:rPr>
              <w:t>20</w:t>
            </w:r>
          </w:p>
        </w:tc>
        <w:tc>
          <w:tcPr>
            <w:tcW w:w="111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cs="宋体" w:asciiTheme="minorEastAsia" w:hAnsiTheme="minorEastAsia" w:eastAsiaTheme="minorEastAsia"/>
                <w:b/>
                <w:bCs/>
                <w:color w:val="auto"/>
                <w:kern w:val="0"/>
                <w:sz w:val="18"/>
                <w:szCs w:val="18"/>
                <w:highlight w:val="none"/>
              </w:rPr>
            </w:pPr>
            <w:r>
              <w:rPr>
                <w:rFonts w:hint="eastAsia" w:cs="宋体" w:asciiTheme="minorEastAsia" w:hAnsiTheme="minorEastAsia" w:eastAsiaTheme="minorEastAsia"/>
                <w:b/>
                <w:bCs/>
                <w:kern w:val="0"/>
                <w:sz w:val="18"/>
                <w:szCs w:val="18"/>
                <w:highlight w:val="none"/>
              </w:rPr>
              <w:t>√</w:t>
            </w:r>
          </w:p>
        </w:tc>
      </w:tr>
    </w:tbl>
    <w:p>
      <w:pPr>
        <w:numPr>
          <w:ilvl w:val="0"/>
          <w:numId w:val="2"/>
        </w:num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董事及高级管理人员薪酬情况</w:t>
      </w:r>
    </w:p>
    <w:p>
      <w:pPr>
        <w:numPr>
          <w:ilvl w:val="0"/>
          <w:numId w:val="0"/>
        </w:num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本行董事、高级管理层人员的薪酬根据《广东省农村合作金融机构工资总额管理办法（2018年版）》《广东农信系统机构高管薪酬管理办法》</w:t>
      </w:r>
      <w:r>
        <w:rPr>
          <w:rFonts w:hint="eastAsia" w:ascii="仿宋_GB2312" w:hAnsi="仿宋_GB2312" w:eastAsia="仿宋_GB2312" w:cs="仿宋_GB2312"/>
          <w:color w:val="auto"/>
          <w:kern w:val="0"/>
          <w:sz w:val="32"/>
          <w:szCs w:val="32"/>
          <w:highlight w:val="none"/>
          <w:lang w:eastAsia="zh-CN"/>
        </w:rPr>
        <w:t>《广东广宁农村商业银行股份有限公司董事报酬及补贴支付标准（2023年版）》</w:t>
      </w:r>
      <w:r>
        <w:rPr>
          <w:rFonts w:hint="eastAsia" w:ascii="仿宋_GB2312" w:hAnsi="仿宋_GB2312" w:eastAsia="仿宋_GB2312" w:cs="仿宋_GB2312"/>
          <w:color w:val="auto"/>
          <w:kern w:val="0"/>
          <w:sz w:val="32"/>
          <w:szCs w:val="32"/>
          <w:highlight w:val="none"/>
        </w:rPr>
        <w:t>和《广东广宁农村商业银行股份有限公司薪酬延期支付实施细则（2022年版）》确定，董事、监事及高级管理人员的薪酬合计480.30万元（含计提延期支付金额160.83万元）</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w:t>
      </w:r>
      <w:r>
        <w:rPr>
          <w:rFonts w:hint="eastAsia" w:ascii="方正楷体_GBK" w:hAnsi="方正楷体_GBK" w:eastAsia="方正楷体_GBK" w:cs="方正楷体_GBK"/>
          <w:sz w:val="32"/>
          <w:szCs w:val="32"/>
          <w:highlight w:val="none"/>
          <w:lang w:val="en-US" w:eastAsia="zh-CN"/>
        </w:rPr>
        <w:t>四</w:t>
      </w:r>
      <w:r>
        <w:rPr>
          <w:rFonts w:hint="eastAsia" w:ascii="方正楷体_GBK" w:hAnsi="方正楷体_GBK" w:eastAsia="方正楷体_GBK" w:cs="方正楷体_GBK"/>
          <w:sz w:val="32"/>
          <w:szCs w:val="32"/>
          <w:highlight w:val="none"/>
        </w:rPr>
        <w:t>）现任董事</w:t>
      </w:r>
      <w:r>
        <w:rPr>
          <w:rFonts w:hint="eastAsia" w:ascii="方正楷体_GBK" w:hAnsi="方正楷体_GBK" w:eastAsia="方正楷体_GBK" w:cs="方正楷体_GBK"/>
          <w:sz w:val="32"/>
          <w:szCs w:val="32"/>
          <w:highlight w:val="none"/>
          <w:lang w:val="en-US" w:eastAsia="zh-CN"/>
        </w:rPr>
        <w:t>及</w:t>
      </w:r>
      <w:r>
        <w:rPr>
          <w:rFonts w:hint="eastAsia" w:ascii="方正楷体_GBK" w:hAnsi="方正楷体_GBK" w:eastAsia="方正楷体_GBK" w:cs="方正楷体_GBK"/>
          <w:sz w:val="32"/>
          <w:szCs w:val="32"/>
          <w:highlight w:val="none"/>
        </w:rPr>
        <w:t>高级管理人员的主要工作经历及任职情况</w:t>
      </w:r>
    </w:p>
    <w:p>
      <w:pPr>
        <w:autoSpaceDE w:val="0"/>
        <w:autoSpaceDN w:val="0"/>
        <w:adjustRightInd w:val="0"/>
        <w:ind w:firstLine="640" w:firstLineChars="200"/>
        <w:jc w:val="left"/>
        <w:rPr>
          <w:rFonts w:hint="eastAsia" w:ascii="黑体" w:hAnsi="黑体" w:eastAsia="黑体" w:cs="黑体"/>
          <w:b w:val="0"/>
          <w:bCs w:val="0"/>
          <w:color w:val="FF0000"/>
          <w:kern w:val="0"/>
          <w:sz w:val="30"/>
          <w:szCs w:val="30"/>
          <w:highlight w:val="none"/>
          <w:lang w:eastAsia="zh-CN"/>
        </w:rPr>
      </w:pPr>
      <w:r>
        <w:rPr>
          <w:rFonts w:hint="eastAsia" w:ascii="黑体" w:hAnsi="Times New Roman" w:eastAsia="黑体" w:cs="Times New Roman"/>
          <w:sz w:val="32"/>
          <w:szCs w:val="32"/>
          <w:highlight w:val="none"/>
        </w:rPr>
        <w:t>1.董事</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黄振邦</w:t>
      </w:r>
      <w:r>
        <w:rPr>
          <w:rFonts w:hint="eastAsia" w:ascii="仿宋_GB2312" w:hAnsi="仿宋_GB2312" w:eastAsia="仿宋_GB2312" w:cs="仿宋_GB2312"/>
          <w:color w:val="auto"/>
          <w:kern w:val="0"/>
          <w:sz w:val="32"/>
          <w:szCs w:val="32"/>
          <w:highlight w:val="none"/>
        </w:rPr>
        <w:t>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本行</w:t>
      </w:r>
      <w:r>
        <w:rPr>
          <w:rFonts w:hint="eastAsia" w:ascii="仿宋_GB2312" w:hAnsi="仿宋_GB2312" w:eastAsia="仿宋_GB2312" w:cs="仿宋_GB2312"/>
          <w:color w:val="auto"/>
          <w:kern w:val="0"/>
          <w:sz w:val="32"/>
          <w:szCs w:val="32"/>
          <w:highlight w:val="none"/>
          <w:lang w:val="en-US" w:eastAsia="zh-CN"/>
        </w:rPr>
        <w:t>执行</w:t>
      </w:r>
      <w:r>
        <w:rPr>
          <w:rFonts w:hint="eastAsia" w:ascii="仿宋_GB2312" w:hAnsi="仿宋_GB2312" w:eastAsia="仿宋_GB2312" w:cs="仿宋_GB2312"/>
          <w:color w:val="auto"/>
          <w:kern w:val="0"/>
          <w:sz w:val="32"/>
          <w:szCs w:val="32"/>
          <w:highlight w:val="none"/>
        </w:rPr>
        <w:t>董事，本科学历，</w:t>
      </w:r>
      <w:r>
        <w:rPr>
          <w:rFonts w:hint="eastAsia" w:ascii="仿宋_GB2312" w:hAnsi="仿宋_GB2312" w:eastAsia="仿宋_GB2312" w:cs="仿宋_GB2312"/>
          <w:color w:val="auto"/>
          <w:kern w:val="0"/>
          <w:sz w:val="32"/>
          <w:szCs w:val="32"/>
          <w:highlight w:val="none"/>
          <w:lang w:val="en-US" w:eastAsia="zh-CN"/>
        </w:rPr>
        <w:t>高级</w:t>
      </w:r>
      <w:r>
        <w:rPr>
          <w:rFonts w:hint="eastAsia" w:ascii="仿宋_GB2312" w:hAnsi="仿宋_GB2312" w:eastAsia="仿宋_GB2312" w:cs="仿宋_GB2312"/>
          <w:color w:val="auto"/>
          <w:kern w:val="0"/>
          <w:sz w:val="32"/>
          <w:szCs w:val="32"/>
          <w:highlight w:val="none"/>
        </w:rPr>
        <w:t>政工师</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现任本行党委书记、董事长。曾任中国建设银行清远市分行曙光路办事处信贷员</w:t>
      </w:r>
      <w:r>
        <w:rPr>
          <w:rFonts w:hint="eastAsia" w:ascii="仿宋_GB2312" w:hAnsi="仿宋_GB2312" w:eastAsia="仿宋_GB2312" w:cs="仿宋_GB2312"/>
          <w:color w:val="auto"/>
          <w:kern w:val="0"/>
          <w:sz w:val="32"/>
          <w:szCs w:val="32"/>
          <w:highlight w:val="none"/>
          <w:lang w:eastAsia="zh-CN"/>
        </w:rPr>
        <w:t>、曙光支行会计主管、曙光路办事处主任助理、曙光支行行长助理、曙光支行副科级客户经理、第二支行副行长、第二支行行长、市场拓展部总经理、公司业务部总经理、公司业务部经理，清远市清城区农村信用合作社联合社临时负责人、理事长、主任、党委书记，清远市清城区农村信用合作联社理事长、党委书记，广东清远农村商业银行股份有限公司党委副书记、行长， 阳山县农村信用合作联社党委委员、书记、理事长， 广东阳山农村商业银行股份有限公司董事长、党委书记。</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val="en-US" w:eastAsia="zh-CN"/>
        </w:rPr>
        <w:t>唐世旋</w:t>
      </w:r>
      <w:r>
        <w:rPr>
          <w:rFonts w:hint="eastAsia" w:ascii="仿宋_GB2312" w:hAnsi="仿宋_GB2312" w:eastAsia="仿宋_GB2312" w:cs="仿宋_GB2312"/>
          <w:color w:val="auto"/>
          <w:kern w:val="0"/>
          <w:sz w:val="32"/>
          <w:szCs w:val="32"/>
          <w:highlight w:val="none"/>
          <w:lang w:eastAsia="zh-CN"/>
        </w:rPr>
        <w:t>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本行职工董事，本科学历，经济师。现任本行党委副书记、行长。曾任中国建设银行茂名河西支行为民分理处柜员，中国建设银行茂名市分行法律部/监察室科员、纪检监察(合规)部副总经理、人力资源部副总经理、电子银行与信用卡部副总经理、消费信贷业务部副总经理、信用卡与电子银行业务部总经理、住房与消费信贷业务部总经理、网络金融与结算业务部总经理、金融科技部(创新中心)总经理、普惠金融业务部(小企业贷款中心)总经理，中国建设银行化州支行副行长，新兴农商银行党委委员、</w:t>
      </w:r>
      <w:r>
        <w:rPr>
          <w:rFonts w:hint="eastAsia" w:ascii="仿宋_GB2312" w:hAnsi="仿宋_GB2312" w:eastAsia="仿宋_GB2312" w:cs="仿宋_GB2312"/>
          <w:color w:val="auto"/>
          <w:kern w:val="0"/>
          <w:sz w:val="32"/>
          <w:szCs w:val="32"/>
          <w:highlight w:val="none"/>
          <w:lang w:val="en-US" w:eastAsia="zh-CN"/>
        </w:rPr>
        <w:t>副行长、职工董事。</w:t>
      </w:r>
    </w:p>
    <w:p>
      <w:pPr>
        <w:pStyle w:val="4"/>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温可炬先生</w:t>
      </w:r>
    </w:p>
    <w:p>
      <w:pPr>
        <w:widowControl/>
        <w:ind w:firstLine="640" w:firstLineChars="200"/>
        <w:rPr>
          <w:rFonts w:hint="default"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本行职工董事，本科学历，政工师。现任本行董事会秘书、行政管理部总经理。曾任广宁县江屯信用社办事员，广宁县洲仔信用社办事员，广宁县五和信用社主任助理、副主任，广宁县石涧信用社副主任（主持工作），广宁县古水信用社副主任（主持工作）、主任，广宁联社营业部主任、资金财务部经理、运营部经理，广宁农商银行公司银行部经理、董事会办公室总经理，人力资源部总经理。</w:t>
      </w:r>
    </w:p>
    <w:p>
      <w:pPr>
        <w:autoSpaceDE w:val="0"/>
        <w:autoSpaceDN w:val="0"/>
        <w:adjustRightInd w:val="0"/>
        <w:spacing w:line="360" w:lineRule="auto"/>
        <w:ind w:firstLine="640" w:firstLineChars="200"/>
        <w:jc w:val="left"/>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李满枝先生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本行独立董事，</w:t>
      </w:r>
      <w:r>
        <w:rPr>
          <w:rFonts w:hint="eastAsia" w:ascii="仿宋_GB2312" w:hAnsi="仿宋_GB2312" w:eastAsia="仿宋_GB2312" w:cs="仿宋_GB2312"/>
          <w:color w:val="auto"/>
          <w:kern w:val="0"/>
          <w:sz w:val="32"/>
          <w:szCs w:val="32"/>
          <w:highlight w:val="none"/>
          <w:lang w:val="en-US" w:eastAsia="zh-CN"/>
        </w:rPr>
        <w:t>本科学历，中级会计师。现任肇庆市宏利高投资发展有限公司（房地产开发企业）财务经理，肇庆市瑞兴房地产有限公司任财务负责人。曾任中国银行肇庆怀集支行信贷客户经理、财务部总账会计师，广州市珍奇味食品有限公司财务主管、总帐会计，四会市锦绣大地房地产开发有限公司财务负责人。</w:t>
      </w:r>
    </w:p>
    <w:p>
      <w:pPr>
        <w:autoSpaceDE w:val="0"/>
        <w:autoSpaceDN w:val="0"/>
        <w:adjustRightInd w:val="0"/>
        <w:spacing w:line="360" w:lineRule="auto"/>
        <w:ind w:firstLine="640" w:firstLineChars="200"/>
        <w:jc w:val="left"/>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阮傍根先生</w:t>
      </w:r>
    </w:p>
    <w:p>
      <w:pPr>
        <w:autoSpaceDE w:val="0"/>
        <w:autoSpaceDN w:val="0"/>
        <w:adjustRightInd w:val="0"/>
        <w:spacing w:line="360" w:lineRule="auto"/>
        <w:ind w:firstLine="640" w:firstLineChars="200"/>
        <w:jc w:val="left"/>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独立董事，本科学历，法学专业。现任广东宁盛律师事务所律师。曾任增城升华化工有限公司办事员，广东博通律师事务所律师助理、实习律师，广东博通律师事务所律师，广东鼎都律师事务所律师，广东广宁农村商业银行股份有限公司外部监事。</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廖月好女士</w:t>
      </w:r>
    </w:p>
    <w:p>
      <w:pPr>
        <w:autoSpaceDE w:val="0"/>
        <w:autoSpaceDN w:val="0"/>
        <w:adjustRightInd w:val="0"/>
        <w:spacing w:line="360" w:lineRule="auto"/>
        <w:ind w:firstLine="640" w:firstLineChars="200"/>
        <w:jc w:val="left"/>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本行独立董事，本科学历，中级会计师。现任肇庆西江财税服务有限公司法定代表人、财务经理。曾任肇庆市工业贸易学校经济法教师，高要市技工学校会计教师，高要市恒泰建材有限公司总账会计。</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王国峰先生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股东董事，研究生学历。现任珠海农商银行风险管理部总经理。曾任兴业银行昆明分行放款审查岗、风险管理部放款中心兼法律合规中心主任、零售事业部个贷中心总经理、法律合规部总经理，兴业银行曲靖分行风险管理部总经理，深圳兆邦基集团有限公司法律风险部风控总经理，珠海农商银行合规与风险管理部副总经理、合规与风险管理部总经理、合规与法律部总经理。</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刘剑忠先生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股东董事，本科学历，助理政工师。现任肇庆农商银行城西支行行长。曾任德庆联社莫村信用社综合柜员、信贷员，德庆联社信贷管理与资产保全部办事员，德庆农信城区信用社信贷员，德庆联社授信管理部办事员、总经理助理，高要农商行授信管理部总经理助理、授信管理部副总经理（主持工作）、授信审批中心副总经理（主持工作）、营业部副总经理（主持工作），肇庆农商银行高要支行副行长（主持工作），肇庆农商银行公司业务部副总经理（主持工作）、公司业务部总经理。</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许飞先生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本行股东董事，本科学历，中级会计师。现任肇庆市祥信会计师事务所有限公司广宁办事处分所所长。曾任顺德区南涌机械厂出纳，广宁县陆氏袋厂有限公司（外商投资企业）会计主管、财务总监。</w:t>
      </w:r>
    </w:p>
    <w:p>
      <w:pPr>
        <w:tabs>
          <w:tab w:val="left" w:pos="1980"/>
        </w:tabs>
        <w:spacing w:line="586" w:lineRule="exact"/>
        <w:ind w:firstLine="640" w:firstLineChars="200"/>
        <w:rPr>
          <w:rFonts w:hint="eastAsia" w:ascii="黑体" w:hAnsi="Times New Roman" w:eastAsia="黑体" w:cs="Times New Roman"/>
          <w:b w:val="0"/>
          <w:bCs w:val="0"/>
          <w:color w:val="FF0000"/>
          <w:sz w:val="32"/>
          <w:szCs w:val="32"/>
          <w:highlight w:val="none"/>
        </w:rPr>
      </w:pPr>
      <w:r>
        <w:rPr>
          <w:rFonts w:hint="eastAsia" w:ascii="黑体" w:hAnsi="Times New Roman" w:eastAsia="黑体" w:cs="Times New Roman"/>
          <w:sz w:val="32"/>
          <w:szCs w:val="32"/>
          <w:highlight w:val="none"/>
          <w:lang w:val="en-US" w:eastAsia="zh-CN"/>
        </w:rPr>
        <w:t>2</w:t>
      </w:r>
      <w:r>
        <w:rPr>
          <w:rFonts w:hint="eastAsia" w:ascii="黑体" w:hAnsi="Times New Roman" w:eastAsia="黑体" w:cs="Times New Roman"/>
          <w:sz w:val="32"/>
          <w:szCs w:val="32"/>
          <w:highlight w:val="none"/>
        </w:rPr>
        <w:t>.高级管理人员</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唐世旋先生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本行行长，请参阅上文“董事”中唐世旋先生的简历。</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廖文先生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党委委员、副行长，本科学历，政工师。曾任高要联社马安信用社办事员，城区信用社信贷部经理，高要联社信贷部副经理、资金计划部副经理、资金计划部经理、德庆联社党委委员、副主任，德庆农商银行党委委员、副行长。</w:t>
      </w:r>
      <w:r>
        <w:rPr>
          <w:rFonts w:hint="default" w:ascii="仿宋_GB2312" w:hAnsi="仿宋_GB2312" w:eastAsia="仿宋_GB2312" w:cs="仿宋_GB2312"/>
          <w:color w:val="auto"/>
          <w:kern w:val="0"/>
          <w:sz w:val="32"/>
          <w:szCs w:val="32"/>
          <w:highlight w:val="none"/>
          <w:lang w:val="en-US" w:eastAsia="zh-CN"/>
        </w:rPr>
        <w:br w:type="textWrapping"/>
      </w:r>
      <w:r>
        <w:rPr>
          <w:rFonts w:hint="eastAsia" w:ascii="仿宋_GB2312" w:hAnsi="仿宋_GB2312" w:eastAsia="仿宋_GB2312" w:cs="仿宋_GB2312"/>
          <w:color w:val="auto"/>
          <w:kern w:val="0"/>
          <w:sz w:val="32"/>
          <w:szCs w:val="32"/>
          <w:highlight w:val="none"/>
          <w:lang w:val="en-US" w:eastAsia="zh-CN"/>
        </w:rPr>
        <w:t xml:space="preserve">    毛树安先生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党委委员、副行长，本科学历，经济师。曾任四会城市信用社电脑维护员，四会城区信用社电脑维护员、副主任，四会联社人事教育部副经理、经理，四会农商银行人力资源部总经理、董事会秘书兼人力资源部总经理、行长助理兼董事会秘书、党委委员、副行长。</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温可炬先生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本行董事会秘书，请参阅上文“董事”中温可炬先生的简历。</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梁红成先生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合规部门（即合规与风险管理部）负责人，本科学历。曾任广宁县古水信用社办事员，广宁县城区信用社办事员；广宁联社财务会计部办事员、监察稽核部特派稽核员、财务会计部副经理、计划资金财务部副经理、运营部副经理，合规与风险管理部副经理（主持工作）、经理，广宁农商银行合规与风险管理部总经理、授信审批中心总经理。（于2025年12月31日免去其合规与风险管理部负责人职务）</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张体君先生</w:t>
      </w:r>
    </w:p>
    <w:p>
      <w:pPr>
        <w:autoSpaceDE w:val="0"/>
        <w:autoSpaceDN w:val="0"/>
        <w:adjustRightInd w:val="0"/>
        <w:spacing w:line="360" w:lineRule="auto"/>
        <w:ind w:firstLine="640" w:firstLineChars="200"/>
        <w:jc w:val="left"/>
        <w:rPr>
          <w:rFonts w:hint="eastAsia" w:ascii="仿宋_GB2312" w:hAnsi="仿宋_GB2312" w:eastAsia="仿宋_GB2312" w:cs="仿宋_GB2312"/>
          <w:color w:val="FF0000"/>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财务部门（即财务会计部）负责人，本科学历，助理会计师、助理经济师职称。曾任广宁县南街农村信用合作社办事员，广宁县合作联社营业部会计，广宁县排沙信用社主任助理，广宁联社金融业务发展中心经理助理，广宁联社金融业务发展中心副经理，广宁联社金融业务管理部副经理，广宁农商银行财务会计部副总经理、人力资源部副总经理。（于2025年12月31日免去其财务会计部负责人职务）</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郑羽君女士</w:t>
      </w:r>
    </w:p>
    <w:p>
      <w:pPr>
        <w:autoSpaceDE w:val="0"/>
        <w:autoSpaceDN w:val="0"/>
        <w:adjustRightInd w:val="0"/>
        <w:spacing w:line="360" w:lineRule="auto"/>
        <w:ind w:firstLine="640" w:firstLineChars="200"/>
        <w:jc w:val="left"/>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本行内审部负责人，本科学历，助理会计师。曾任广宁县石涧农村信用社储蓄员、事后监督员，广宁联社会计结算部事后监督员、运营部办事员、经理助理，广宁农商银行财务会计部副总经理（主持工作）。</w:t>
      </w:r>
    </w:p>
    <w:p>
      <w:pPr>
        <w:widowControl/>
        <w:ind w:firstLine="640" w:firstLineChars="200"/>
        <w:rPr>
          <w:rFonts w:hint="eastAsia" w:ascii="宋体" w:hAnsi="宋体" w:eastAsia="宋体" w:cs="宋体"/>
          <w:b/>
          <w:bCs/>
          <w:sz w:val="32"/>
          <w:szCs w:val="32"/>
          <w:highlight w:val="none"/>
          <w:lang w:val="en-US" w:eastAsia="zh-CN"/>
        </w:rPr>
      </w:pPr>
      <w:r>
        <w:rPr>
          <w:rFonts w:hint="eastAsia" w:ascii="黑体" w:hAnsi="Times New Roman" w:eastAsia="黑体" w:cs="Times New Roman"/>
          <w:sz w:val="32"/>
          <w:szCs w:val="32"/>
          <w:highlight w:val="none"/>
        </w:rPr>
        <w:t>二、董事</w:t>
      </w:r>
      <w:r>
        <w:rPr>
          <w:rFonts w:hint="eastAsia" w:ascii="黑体" w:eastAsia="黑体" w:cs="Times New Roman"/>
          <w:sz w:val="32"/>
          <w:szCs w:val="32"/>
          <w:highlight w:val="none"/>
          <w:lang w:eastAsia="zh-CN"/>
        </w:rPr>
        <w:t>、</w:t>
      </w:r>
      <w:r>
        <w:rPr>
          <w:rFonts w:hint="eastAsia" w:ascii="黑体" w:hAnsi="黑体" w:eastAsia="黑体" w:cs="黑体"/>
          <w:kern w:val="0"/>
          <w:sz w:val="30"/>
          <w:szCs w:val="30"/>
          <w:highlight w:val="none"/>
        </w:rPr>
        <w:t>监事</w:t>
      </w:r>
      <w:r>
        <w:rPr>
          <w:rFonts w:hint="eastAsia" w:ascii="黑体" w:hAnsi="Times New Roman" w:eastAsia="黑体" w:cs="Times New Roman"/>
          <w:sz w:val="32"/>
          <w:szCs w:val="32"/>
          <w:highlight w:val="none"/>
          <w:lang w:val="en-US" w:eastAsia="zh-CN"/>
        </w:rPr>
        <w:t>及</w:t>
      </w:r>
      <w:r>
        <w:rPr>
          <w:rFonts w:hint="eastAsia" w:ascii="黑体" w:hAnsi="Times New Roman" w:eastAsia="黑体" w:cs="Times New Roman"/>
          <w:sz w:val="32"/>
          <w:szCs w:val="32"/>
          <w:highlight w:val="none"/>
        </w:rPr>
        <w:t>高级管理人员变动情况</w:t>
      </w:r>
    </w:p>
    <w:p>
      <w:pPr>
        <w:pStyle w:val="4"/>
        <w:spacing w:line="360" w:lineRule="auto"/>
        <w:ind w:left="0" w:leftChars="0" w:firstLine="640" w:firstLineChars="200"/>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kern w:val="2"/>
          <w:sz w:val="32"/>
          <w:szCs w:val="32"/>
          <w:highlight w:val="none"/>
          <w:lang w:val="en-US" w:eastAsia="zh-CN" w:bidi="ar-SA"/>
        </w:rPr>
        <w:t>2025年4月30日免去何文肇广宁农商银行第二届董事会职工董事职务，2025年7月15日免去何文肇广宁农商银行董事长职务。</w:t>
      </w:r>
    </w:p>
    <w:p>
      <w:pPr>
        <w:pStyle w:val="4"/>
        <w:spacing w:line="360" w:lineRule="auto"/>
        <w:ind w:left="0" w:leftChars="0" w:firstLine="640" w:firstLineChars="200"/>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（二）2025年10月17日聘任黄振邦为广宁农商银行第二届董事会董事，2025年12月9日聘任黄振邦为广宁农商银行董事长。</w:t>
      </w:r>
    </w:p>
    <w:p>
      <w:pPr>
        <w:pStyle w:val="4"/>
        <w:spacing w:line="360" w:lineRule="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（三）2025年12月31日分别免去梁红成同志广宁农商银行合规部门负责人职务及张体君同志广宁农商银行财务负责人职务。</w:t>
      </w:r>
    </w:p>
    <w:p>
      <w:pPr>
        <w:pStyle w:val="4"/>
        <w:spacing w:line="360" w:lineRule="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（四）2025年12月31日免去赖志杰广宁农商银行监事长职务。</w:t>
      </w:r>
    </w:p>
    <w:p>
      <w:pPr>
        <w:pStyle w:val="4"/>
        <w:spacing w:line="360" w:lineRule="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（五）2025年12月31日免去广宁农商银行第二届监事会全体监事，并同步撤销本行监事会。</w:t>
      </w:r>
    </w:p>
    <w:p>
      <w:pPr>
        <w:widowControl/>
        <w:ind w:firstLine="640" w:firstLineChars="200"/>
        <w:rPr>
          <w:rFonts w:hint="eastAsia" w:ascii="黑体" w:hAnsi="黑体" w:eastAsia="黑体" w:cs="黑体"/>
          <w:kern w:val="0"/>
          <w:sz w:val="30"/>
          <w:szCs w:val="30"/>
          <w:highlight w:val="none"/>
        </w:rPr>
      </w:pPr>
      <w:r>
        <w:rPr>
          <w:rFonts w:hint="eastAsia" w:ascii="黑体" w:hAnsi="Times New Roman" w:eastAsia="黑体" w:cs="Times New Roman"/>
          <w:sz w:val="32"/>
          <w:szCs w:val="32"/>
          <w:highlight w:val="none"/>
          <w:lang w:val="en-US" w:eastAsia="zh-CN"/>
        </w:rPr>
        <w:t>三、</w:t>
      </w:r>
      <w:r>
        <w:rPr>
          <w:rFonts w:hint="eastAsia" w:ascii="黑体" w:hAnsi="Times New Roman" w:eastAsia="黑体" w:cs="Times New Roman"/>
          <w:sz w:val="32"/>
          <w:szCs w:val="32"/>
          <w:highlight w:val="none"/>
        </w:rPr>
        <w:t>本行员工情况</w:t>
      </w:r>
    </w:p>
    <w:p>
      <w:pPr>
        <w:numPr>
          <w:ilvl w:val="0"/>
          <w:numId w:val="0"/>
        </w:numPr>
        <w:autoSpaceDE w:val="0"/>
        <w:autoSpaceDN w:val="0"/>
        <w:adjustRightInd w:val="0"/>
        <w:ind w:firstLine="640" w:firstLineChars="200"/>
        <w:jc w:val="left"/>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截至报告期末，本行现有在职员工379人，具体情况如下：</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lang w:val="en-US" w:eastAsia="zh-CN"/>
        </w:rPr>
        <w:t>一</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按学历划分。</w:t>
      </w:r>
    </w:p>
    <w:tbl>
      <w:tblPr>
        <w:tblStyle w:val="20"/>
        <w:tblW w:w="8363" w:type="dxa"/>
        <w:tblInd w:w="108" w:type="dxa"/>
        <w:tblLayout w:type="fixed"/>
        <w:tblCellMar>
          <w:top w:w="0" w:type="dxa"/>
          <w:left w:w="108" w:type="dxa"/>
          <w:bottom w:w="0" w:type="dxa"/>
          <w:right w:w="108" w:type="dxa"/>
        </w:tblCellMar>
      </w:tblPr>
      <w:tblGrid>
        <w:gridCol w:w="2750"/>
        <w:gridCol w:w="2778"/>
        <w:gridCol w:w="2835"/>
      </w:tblGrid>
      <w:tr>
        <w:trPr>
          <w:trHeight w:val="305" w:hRule="atLeast"/>
        </w:trPr>
        <w:tc>
          <w:tcPr>
            <w:tcW w:w="2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highlight w:val="none"/>
              </w:rPr>
            </w:pPr>
            <w:r>
              <w:rPr>
                <w:rFonts w:hint="eastAsia" w:ascii="仿宋_GB2312" w:hAnsi="宋体" w:eastAsia="仿宋_GB2312" w:cs="宋体"/>
                <w:b/>
                <w:bCs/>
                <w:kern w:val="0"/>
                <w:sz w:val="18"/>
                <w:szCs w:val="18"/>
                <w:highlight w:val="none"/>
              </w:rPr>
              <w:t>学历</w:t>
            </w:r>
          </w:p>
        </w:tc>
        <w:tc>
          <w:tcPr>
            <w:tcW w:w="2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highlight w:val="none"/>
              </w:rPr>
            </w:pPr>
            <w:r>
              <w:rPr>
                <w:rFonts w:hint="eastAsia" w:ascii="仿宋_GB2312" w:hAnsi="宋体" w:eastAsia="仿宋_GB2312" w:cs="宋体"/>
                <w:b/>
                <w:bCs/>
                <w:kern w:val="0"/>
                <w:sz w:val="18"/>
                <w:szCs w:val="18"/>
                <w:highlight w:val="none"/>
              </w:rPr>
              <w:t>人数</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kern w:val="0"/>
                <w:sz w:val="18"/>
                <w:szCs w:val="18"/>
                <w:highlight w:val="none"/>
              </w:rPr>
            </w:pPr>
            <w:r>
              <w:rPr>
                <w:rFonts w:hint="eastAsia" w:ascii="仿宋_GB2312" w:hAnsi="宋体" w:eastAsia="仿宋_GB2312" w:cs="宋体"/>
                <w:b/>
                <w:bCs/>
                <w:kern w:val="0"/>
                <w:sz w:val="18"/>
                <w:szCs w:val="18"/>
                <w:highlight w:val="none"/>
              </w:rPr>
              <w:t>占比（%）</w:t>
            </w:r>
          </w:p>
        </w:tc>
      </w:tr>
      <w:tr>
        <w:tblPrEx>
          <w:tblCellMar>
            <w:top w:w="0" w:type="dxa"/>
            <w:left w:w="108" w:type="dxa"/>
            <w:bottom w:w="0" w:type="dxa"/>
            <w:right w:w="108" w:type="dxa"/>
          </w:tblCellMar>
        </w:tblPrEx>
        <w:trPr>
          <w:trHeight w:val="267" w:hRule="atLeast"/>
        </w:trPr>
        <w:tc>
          <w:tcPr>
            <w:tcW w:w="275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20"/>
                <w:szCs w:val="20"/>
                <w:highlight w:val="none"/>
              </w:rPr>
            </w:pPr>
            <w:r>
              <w:rPr>
                <w:rFonts w:hint="eastAsia" w:cs="宋体" w:asciiTheme="minorEastAsia" w:hAnsiTheme="minorEastAsia" w:eastAsiaTheme="minorEastAsia"/>
                <w:kern w:val="0"/>
                <w:sz w:val="20"/>
                <w:szCs w:val="20"/>
                <w:highlight w:val="none"/>
              </w:rPr>
              <w:t>大学本科及以上</w:t>
            </w:r>
          </w:p>
        </w:tc>
        <w:tc>
          <w:tcPr>
            <w:tcW w:w="2778"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eastAsia="zh-CN"/>
              </w:rPr>
            </w:pPr>
            <w:r>
              <w:rPr>
                <w:rFonts w:hint="eastAsia" w:asciiTheme="minorEastAsia" w:hAnsiTheme="minorEastAsia" w:eastAsiaTheme="minorEastAsia"/>
                <w:sz w:val="20"/>
                <w:szCs w:val="20"/>
                <w:highlight w:val="none"/>
                <w:lang w:val="en-US" w:eastAsia="zh-CN"/>
              </w:rPr>
              <w:t>255</w:t>
            </w:r>
          </w:p>
        </w:tc>
        <w:tc>
          <w:tcPr>
            <w:tcW w:w="2835"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color w:val="auto"/>
                <w:sz w:val="20"/>
                <w:szCs w:val="20"/>
                <w:highlight w:val="none"/>
                <w:lang w:val="en-US" w:eastAsia="zh-CN"/>
              </w:rPr>
              <w:t>68.37</w:t>
            </w:r>
          </w:p>
        </w:tc>
      </w:tr>
      <w:tr>
        <w:tblPrEx>
          <w:tblCellMar>
            <w:top w:w="0" w:type="dxa"/>
            <w:left w:w="108" w:type="dxa"/>
            <w:bottom w:w="0" w:type="dxa"/>
            <w:right w:w="108" w:type="dxa"/>
          </w:tblCellMar>
        </w:tblPrEx>
        <w:trPr>
          <w:trHeight w:val="319" w:hRule="atLeast"/>
        </w:trPr>
        <w:tc>
          <w:tcPr>
            <w:tcW w:w="275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20"/>
                <w:szCs w:val="20"/>
                <w:highlight w:val="none"/>
              </w:rPr>
            </w:pPr>
            <w:r>
              <w:rPr>
                <w:rFonts w:hint="eastAsia" w:cs="宋体" w:asciiTheme="minorEastAsia" w:hAnsiTheme="minorEastAsia" w:eastAsiaTheme="minorEastAsia"/>
                <w:kern w:val="0"/>
                <w:sz w:val="20"/>
                <w:szCs w:val="20"/>
                <w:highlight w:val="none"/>
              </w:rPr>
              <w:t>大专</w:t>
            </w:r>
          </w:p>
        </w:tc>
        <w:tc>
          <w:tcPr>
            <w:tcW w:w="2778"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color w:val="auto"/>
                <w:sz w:val="20"/>
                <w:szCs w:val="20"/>
                <w:highlight w:val="none"/>
                <w:lang w:val="en-US" w:eastAsia="zh-CN"/>
              </w:rPr>
              <w:t>93</w:t>
            </w:r>
          </w:p>
        </w:tc>
        <w:tc>
          <w:tcPr>
            <w:tcW w:w="2835"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color w:val="auto"/>
                <w:sz w:val="20"/>
                <w:szCs w:val="20"/>
                <w:highlight w:val="none"/>
                <w:lang w:val="en-US" w:eastAsia="zh-CN"/>
              </w:rPr>
              <w:t>24.93</w:t>
            </w:r>
          </w:p>
        </w:tc>
      </w:tr>
      <w:tr>
        <w:trPr>
          <w:trHeight w:val="329" w:hRule="atLeast"/>
        </w:trPr>
        <w:tc>
          <w:tcPr>
            <w:tcW w:w="275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20"/>
                <w:szCs w:val="20"/>
                <w:highlight w:val="none"/>
              </w:rPr>
            </w:pPr>
            <w:r>
              <w:rPr>
                <w:rFonts w:hint="eastAsia" w:cs="宋体" w:asciiTheme="minorEastAsia" w:hAnsiTheme="minorEastAsia" w:eastAsiaTheme="minorEastAsia"/>
                <w:kern w:val="0"/>
                <w:sz w:val="20"/>
                <w:szCs w:val="20"/>
                <w:highlight w:val="none"/>
              </w:rPr>
              <w:t>中专及以下</w:t>
            </w:r>
          </w:p>
        </w:tc>
        <w:tc>
          <w:tcPr>
            <w:tcW w:w="2778"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color w:val="auto"/>
                <w:sz w:val="20"/>
                <w:szCs w:val="20"/>
                <w:highlight w:val="none"/>
                <w:lang w:val="en-US" w:eastAsia="zh-CN"/>
              </w:rPr>
              <w:t>25</w:t>
            </w:r>
          </w:p>
        </w:tc>
        <w:tc>
          <w:tcPr>
            <w:tcW w:w="2835"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0"/>
                <w:szCs w:val="20"/>
                <w:highlight w:val="none"/>
              </w:rPr>
            </w:pPr>
            <w:r>
              <w:rPr>
                <w:rFonts w:hint="eastAsia" w:asciiTheme="minorEastAsia" w:hAnsiTheme="minorEastAsia" w:eastAsiaTheme="minorEastAsia"/>
                <w:color w:val="auto"/>
                <w:sz w:val="20"/>
                <w:szCs w:val="20"/>
                <w:highlight w:val="none"/>
                <w:lang w:val="en-US" w:eastAsia="zh-CN"/>
              </w:rPr>
              <w:t>6.70</w:t>
            </w:r>
          </w:p>
        </w:tc>
      </w:tr>
      <w:tr>
        <w:tblPrEx>
          <w:tblCellMar>
            <w:top w:w="0" w:type="dxa"/>
            <w:left w:w="108" w:type="dxa"/>
            <w:bottom w:w="0" w:type="dxa"/>
            <w:right w:w="108" w:type="dxa"/>
          </w:tblCellMar>
        </w:tblPrEx>
        <w:trPr>
          <w:trHeight w:val="304" w:hRule="atLeast"/>
        </w:trPr>
        <w:tc>
          <w:tcPr>
            <w:tcW w:w="275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 w:val="20"/>
                <w:szCs w:val="20"/>
                <w:highlight w:val="none"/>
              </w:rPr>
            </w:pPr>
            <w:r>
              <w:rPr>
                <w:rFonts w:hint="eastAsia" w:cs="宋体" w:asciiTheme="minorEastAsia" w:hAnsiTheme="minorEastAsia" w:eastAsiaTheme="minorEastAsia"/>
                <w:kern w:val="0"/>
                <w:sz w:val="20"/>
                <w:szCs w:val="20"/>
                <w:highlight w:val="none"/>
              </w:rPr>
              <w:t>合计</w:t>
            </w:r>
          </w:p>
        </w:tc>
        <w:tc>
          <w:tcPr>
            <w:tcW w:w="2778" w:type="dxa"/>
            <w:tcBorders>
              <w:top w:val="nil"/>
              <w:left w:val="nil"/>
              <w:bottom w:val="single" w:color="auto" w:sz="4" w:space="0"/>
              <w:right w:val="single" w:color="auto" w:sz="4" w:space="0"/>
            </w:tcBorders>
            <w:shd w:val="clear" w:color="auto" w:fill="auto"/>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color w:val="auto"/>
                <w:sz w:val="20"/>
                <w:szCs w:val="20"/>
                <w:highlight w:val="none"/>
                <w:lang w:val="en-US" w:eastAsia="zh-CN"/>
              </w:rPr>
              <w:t>373</w:t>
            </w:r>
          </w:p>
        </w:tc>
        <w:tc>
          <w:tcPr>
            <w:tcW w:w="2835"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20"/>
                <w:szCs w:val="20"/>
                <w:highlight w:val="none"/>
              </w:rPr>
            </w:pPr>
            <w:r>
              <w:rPr>
                <w:rFonts w:hint="eastAsia" w:asciiTheme="minorEastAsia" w:hAnsiTheme="minorEastAsia" w:eastAsiaTheme="minorEastAsia"/>
                <w:color w:val="auto"/>
                <w:sz w:val="20"/>
                <w:szCs w:val="20"/>
                <w:highlight w:val="none"/>
              </w:rPr>
              <w:t>100</w:t>
            </w:r>
          </w:p>
        </w:tc>
      </w:tr>
    </w:tbl>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eastAsia="zh-CN"/>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lang w:val="en-US" w:eastAsia="zh-CN"/>
        </w:rPr>
        <w:t>二</w:t>
      </w:r>
      <w:r>
        <w:rPr>
          <w:rFonts w:hint="eastAsia" w:ascii="方正楷体_GBK" w:hAnsi="方正楷体_GBK" w:eastAsia="方正楷体_GBK" w:cs="方正楷体_GBK"/>
          <w:sz w:val="32"/>
          <w:szCs w:val="32"/>
          <w:highlight w:val="none"/>
          <w:lang w:eastAsia="zh-CN"/>
        </w:rPr>
        <w:t>）按岗位类别划分。</w:t>
      </w:r>
    </w:p>
    <w:tbl>
      <w:tblPr>
        <w:tblStyle w:val="20"/>
        <w:tblW w:w="8310" w:type="dxa"/>
        <w:tblInd w:w="0" w:type="dxa"/>
        <w:tblLayout w:type="fixed"/>
        <w:tblCellMar>
          <w:top w:w="0" w:type="dxa"/>
          <w:left w:w="0" w:type="dxa"/>
          <w:bottom w:w="0" w:type="dxa"/>
          <w:right w:w="0" w:type="dxa"/>
        </w:tblCellMar>
      </w:tblPr>
      <w:tblGrid>
        <w:gridCol w:w="2689"/>
        <w:gridCol w:w="2865"/>
        <w:gridCol w:w="2756"/>
      </w:tblGrid>
      <w:tr>
        <w:tblPrEx>
          <w:tblCellMar>
            <w:top w:w="0" w:type="dxa"/>
            <w:left w:w="0" w:type="dxa"/>
            <w:bottom w:w="0" w:type="dxa"/>
            <w:right w:w="0" w:type="dxa"/>
          </w:tblCellMar>
        </w:tblPrEx>
        <w:trPr>
          <w:trHeight w:val="272" w:hRule="atLeast"/>
        </w:trPr>
        <w:tc>
          <w:tcPr>
            <w:tcW w:w="26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仿宋_GB2312" w:hAnsi="宋体" w:eastAsia="仿宋_GB2312" w:cs="宋体"/>
                <w:b/>
                <w:bCs/>
                <w:sz w:val="18"/>
                <w:szCs w:val="18"/>
                <w:highlight w:val="none"/>
              </w:rPr>
            </w:pPr>
            <w:r>
              <w:rPr>
                <w:rFonts w:hint="eastAsia" w:ascii="仿宋_GB2312" w:eastAsia="仿宋_GB2312"/>
                <w:b/>
                <w:bCs/>
                <w:sz w:val="18"/>
                <w:szCs w:val="18"/>
                <w:highlight w:val="none"/>
              </w:rPr>
              <w:t>岗位类别</w:t>
            </w:r>
          </w:p>
        </w:tc>
        <w:tc>
          <w:tcPr>
            <w:tcW w:w="2865"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仿宋_GB2312" w:hAnsi="宋体" w:eastAsia="仿宋_GB2312" w:cs="宋体"/>
                <w:b/>
                <w:bCs/>
                <w:sz w:val="18"/>
                <w:szCs w:val="18"/>
                <w:highlight w:val="none"/>
              </w:rPr>
            </w:pPr>
            <w:r>
              <w:rPr>
                <w:rFonts w:hint="eastAsia" w:ascii="仿宋_GB2312" w:eastAsia="仿宋_GB2312"/>
                <w:b/>
                <w:bCs/>
                <w:sz w:val="18"/>
                <w:szCs w:val="18"/>
                <w:highlight w:val="none"/>
              </w:rPr>
              <w:t>人数</w:t>
            </w:r>
          </w:p>
        </w:tc>
        <w:tc>
          <w:tcPr>
            <w:tcW w:w="275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仿宋_GB2312" w:hAnsi="宋体" w:eastAsia="仿宋_GB2312" w:cs="宋体"/>
                <w:b/>
                <w:bCs/>
                <w:sz w:val="18"/>
                <w:szCs w:val="18"/>
                <w:highlight w:val="none"/>
              </w:rPr>
            </w:pPr>
            <w:r>
              <w:rPr>
                <w:rFonts w:hint="eastAsia" w:ascii="仿宋_GB2312" w:eastAsia="仿宋_GB2312"/>
                <w:b/>
                <w:bCs/>
                <w:sz w:val="18"/>
                <w:szCs w:val="18"/>
                <w:highlight w:val="none"/>
              </w:rPr>
              <w:t>占比</w:t>
            </w:r>
            <w:r>
              <w:rPr>
                <w:rFonts w:hint="eastAsia" w:ascii="仿宋_GB2312" w:hAnsi="宋体" w:eastAsia="仿宋_GB2312" w:cs="宋体"/>
                <w:b/>
                <w:bCs/>
                <w:kern w:val="0"/>
                <w:sz w:val="18"/>
                <w:szCs w:val="18"/>
                <w:highlight w:val="none"/>
              </w:rPr>
              <w:t>（%）</w:t>
            </w:r>
          </w:p>
        </w:tc>
      </w:tr>
      <w:tr>
        <w:tblPrEx>
          <w:tblCellMar>
            <w:top w:w="0" w:type="dxa"/>
            <w:left w:w="0" w:type="dxa"/>
            <w:bottom w:w="0" w:type="dxa"/>
            <w:right w:w="0" w:type="dxa"/>
          </w:tblCellMar>
        </w:tblPrEx>
        <w:trPr>
          <w:trHeight w:val="284" w:hRule="atLeast"/>
        </w:trPr>
        <w:tc>
          <w:tcPr>
            <w:tcW w:w="2689"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rPr>
                <w:rFonts w:cs="宋体" w:asciiTheme="minorEastAsia" w:hAnsiTheme="minorEastAsia" w:eastAsiaTheme="minorEastAsia"/>
                <w:sz w:val="20"/>
                <w:szCs w:val="20"/>
                <w:highlight w:val="none"/>
              </w:rPr>
            </w:pPr>
            <w:r>
              <w:rPr>
                <w:rFonts w:hint="eastAsia" w:asciiTheme="minorEastAsia" w:hAnsiTheme="minorEastAsia" w:eastAsiaTheme="minorEastAsia"/>
                <w:sz w:val="20"/>
                <w:szCs w:val="20"/>
                <w:highlight w:val="none"/>
              </w:rPr>
              <w:t>管理类</w:t>
            </w:r>
          </w:p>
        </w:tc>
        <w:tc>
          <w:tcPr>
            <w:tcW w:w="28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57</w:t>
            </w:r>
          </w:p>
        </w:tc>
        <w:tc>
          <w:tcPr>
            <w:tcW w:w="275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15.28</w:t>
            </w:r>
          </w:p>
        </w:tc>
      </w:tr>
      <w:tr>
        <w:tblPrEx>
          <w:tblCellMar>
            <w:top w:w="0" w:type="dxa"/>
            <w:left w:w="0" w:type="dxa"/>
            <w:bottom w:w="0" w:type="dxa"/>
            <w:right w:w="0" w:type="dxa"/>
          </w:tblCellMar>
        </w:tblPrEx>
        <w:trPr>
          <w:trHeight w:val="244" w:hRule="atLeast"/>
        </w:trPr>
        <w:tc>
          <w:tcPr>
            <w:tcW w:w="2689"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rPr>
                <w:rFonts w:cs="宋体" w:asciiTheme="minorEastAsia" w:hAnsiTheme="minorEastAsia" w:eastAsiaTheme="minorEastAsia"/>
                <w:sz w:val="20"/>
                <w:szCs w:val="20"/>
                <w:highlight w:val="none"/>
              </w:rPr>
            </w:pPr>
            <w:r>
              <w:rPr>
                <w:rFonts w:hint="eastAsia" w:asciiTheme="minorEastAsia" w:hAnsiTheme="minorEastAsia" w:eastAsiaTheme="minorEastAsia"/>
                <w:sz w:val="20"/>
                <w:szCs w:val="20"/>
                <w:highlight w:val="none"/>
              </w:rPr>
              <w:t>业务类</w:t>
            </w:r>
          </w:p>
        </w:tc>
        <w:tc>
          <w:tcPr>
            <w:tcW w:w="28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276</w:t>
            </w:r>
          </w:p>
        </w:tc>
        <w:tc>
          <w:tcPr>
            <w:tcW w:w="275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74</w:t>
            </w:r>
          </w:p>
        </w:tc>
      </w:tr>
      <w:tr>
        <w:tblPrEx>
          <w:tblCellMar>
            <w:top w:w="0" w:type="dxa"/>
            <w:left w:w="0" w:type="dxa"/>
            <w:bottom w:w="0" w:type="dxa"/>
            <w:right w:w="0" w:type="dxa"/>
          </w:tblCellMar>
        </w:tblPrEx>
        <w:trPr>
          <w:trHeight w:val="289" w:hRule="atLeast"/>
        </w:trPr>
        <w:tc>
          <w:tcPr>
            <w:tcW w:w="2689"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rPr>
                <w:rFonts w:cs="宋体" w:asciiTheme="minorEastAsia" w:hAnsiTheme="minorEastAsia" w:eastAsiaTheme="minorEastAsia"/>
                <w:sz w:val="20"/>
                <w:szCs w:val="20"/>
                <w:highlight w:val="none"/>
              </w:rPr>
            </w:pPr>
            <w:r>
              <w:rPr>
                <w:rFonts w:hint="eastAsia" w:asciiTheme="minorEastAsia" w:hAnsiTheme="minorEastAsia" w:eastAsiaTheme="minorEastAsia"/>
                <w:sz w:val="20"/>
                <w:szCs w:val="20"/>
                <w:highlight w:val="none"/>
              </w:rPr>
              <w:t>其他</w:t>
            </w:r>
          </w:p>
        </w:tc>
        <w:tc>
          <w:tcPr>
            <w:tcW w:w="28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40</w:t>
            </w:r>
          </w:p>
        </w:tc>
        <w:tc>
          <w:tcPr>
            <w:tcW w:w="275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rPr>
            </w:pPr>
            <w:r>
              <w:rPr>
                <w:rFonts w:hint="eastAsia" w:asciiTheme="minorEastAsia" w:hAnsiTheme="minorEastAsia" w:eastAsiaTheme="minorEastAsia"/>
                <w:sz w:val="20"/>
                <w:szCs w:val="20"/>
                <w:highlight w:val="none"/>
                <w:lang w:val="en-US" w:eastAsia="zh-CN"/>
              </w:rPr>
              <w:t>10.72</w:t>
            </w:r>
          </w:p>
        </w:tc>
      </w:tr>
      <w:tr>
        <w:tblPrEx>
          <w:tblCellMar>
            <w:top w:w="0" w:type="dxa"/>
            <w:left w:w="0" w:type="dxa"/>
            <w:bottom w:w="0" w:type="dxa"/>
            <w:right w:w="0" w:type="dxa"/>
          </w:tblCellMar>
        </w:tblPrEx>
        <w:trPr>
          <w:trHeight w:val="324" w:hRule="atLeast"/>
        </w:trPr>
        <w:tc>
          <w:tcPr>
            <w:tcW w:w="2689"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rPr>
                <w:rFonts w:cs="宋体" w:asciiTheme="minorEastAsia" w:hAnsiTheme="minorEastAsia" w:eastAsiaTheme="minorEastAsia"/>
                <w:sz w:val="20"/>
                <w:szCs w:val="20"/>
                <w:highlight w:val="none"/>
              </w:rPr>
            </w:pPr>
            <w:r>
              <w:rPr>
                <w:rFonts w:hint="eastAsia" w:asciiTheme="minorEastAsia" w:hAnsiTheme="minorEastAsia" w:eastAsiaTheme="minorEastAsia"/>
                <w:sz w:val="20"/>
                <w:szCs w:val="20"/>
                <w:highlight w:val="none"/>
              </w:rPr>
              <w:t>合计</w:t>
            </w:r>
          </w:p>
        </w:tc>
        <w:tc>
          <w:tcPr>
            <w:tcW w:w="286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Theme="minorEastAsia" w:hAnsiTheme="minorEastAsia" w:eastAsiaTheme="minorEastAsia"/>
                <w:sz w:val="20"/>
                <w:szCs w:val="20"/>
                <w:highlight w:val="none"/>
                <w:lang w:val="en-US" w:eastAsia="zh-CN"/>
              </w:rPr>
            </w:pPr>
            <w:r>
              <w:rPr>
                <w:rFonts w:hint="eastAsia" w:asciiTheme="minorEastAsia" w:hAnsiTheme="minorEastAsia" w:eastAsiaTheme="minorEastAsia"/>
                <w:sz w:val="20"/>
                <w:szCs w:val="20"/>
                <w:highlight w:val="none"/>
                <w:lang w:val="en-US" w:eastAsia="zh-CN"/>
              </w:rPr>
              <w:t>373</w:t>
            </w:r>
          </w:p>
        </w:tc>
        <w:tc>
          <w:tcPr>
            <w:tcW w:w="2756"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Theme="minorEastAsia" w:hAnsiTheme="minorEastAsia" w:eastAsiaTheme="minorEastAsia"/>
                <w:sz w:val="20"/>
                <w:szCs w:val="20"/>
                <w:highlight w:val="none"/>
              </w:rPr>
            </w:pPr>
            <w:r>
              <w:rPr>
                <w:rFonts w:asciiTheme="minorEastAsia" w:hAnsiTheme="minorEastAsia" w:eastAsiaTheme="minorEastAsia"/>
                <w:sz w:val="20"/>
                <w:szCs w:val="20"/>
                <w:highlight w:val="none"/>
              </w:rPr>
              <w:t>100</w:t>
            </w:r>
          </w:p>
        </w:tc>
      </w:tr>
    </w:tbl>
    <w:p>
      <w:pPr>
        <w:rPr>
          <w:rFonts w:hint="eastAsia"/>
          <w:highlight w:val="none"/>
        </w:rPr>
      </w:pPr>
    </w:p>
    <w:p>
      <w:pPr>
        <w:pStyle w:val="2"/>
        <w:rPr>
          <w:rFonts w:hint="eastAsia"/>
        </w:rPr>
      </w:pPr>
    </w:p>
    <w:p>
      <w:pPr>
        <w:pStyle w:val="18"/>
        <w:spacing w:line="360" w:lineRule="auto"/>
        <w:jc w:val="center"/>
        <w:rPr>
          <w:rFonts w:hint="eastAsia" w:ascii="黑体" w:eastAsia="黑体" w:cs="黑体"/>
          <w:kern w:val="0"/>
          <w:sz w:val="30"/>
          <w:szCs w:val="30"/>
          <w:highlight w:val="none"/>
        </w:rPr>
      </w:pPr>
      <w:bookmarkStart w:id="21" w:name="_Toc12967"/>
      <w:bookmarkStart w:id="22" w:name="_Toc29027"/>
      <w:bookmarkStart w:id="23" w:name="_Toc23587"/>
      <w:bookmarkStart w:id="24" w:name="_Toc15044"/>
      <w:r>
        <w:rPr>
          <w:rFonts w:hint="eastAsia" w:ascii="方正小标宋_GBK" w:hAnsi="方正小标宋_GBK" w:eastAsia="方正小标宋_GBK" w:cs="方正小标宋_GBK"/>
          <w:b w:val="0"/>
          <w:bCs w:val="0"/>
          <w:sz w:val="36"/>
          <w:szCs w:val="36"/>
          <w:highlight w:val="none"/>
        </w:rPr>
        <w:t>第五节 公司治理情况</w:t>
      </w:r>
      <w:bookmarkEnd w:id="21"/>
      <w:bookmarkEnd w:id="22"/>
      <w:bookmarkEnd w:id="23"/>
      <w:bookmarkEnd w:id="24"/>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lang w:eastAsia="zh-CN"/>
        </w:rPr>
      </w:pPr>
      <w:r>
        <w:rPr>
          <w:rFonts w:hint="eastAsia" w:ascii="黑体" w:hAnsi="Times New Roman" w:eastAsia="黑体" w:cs="Times New Roman"/>
          <w:sz w:val="32"/>
          <w:szCs w:val="32"/>
          <w:highlight w:val="none"/>
        </w:rPr>
        <w:t>一、公司治理概述</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根据《中华人民共和国公司法》《中华人民共和国商业银行法》《银行保险机构公司治理准则》以及《商业银行监事会工作指引》等法律规定和监管要求，结合本行实际情况，本行建立了以“三会一层”为主体，各治理主体职责清晰，独立运作，有效制衡的公司治理架构及相关制度体系。</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rPr>
        <w:t>报告期内，本行股东会依照法定程序召开会议，并聘请律师进行见证；董事会认真执行</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决议，依法合规运作，科学谨慎决策；各位董事勤勉履职，积极参加各次会议，独立表达意见</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监事会通过列席董事会会议、听取管理层汇报、审议财务报告、组织开展专项检查等方式充分履行监督职责；高级管理层认真执行董事会的各项决议，负责本行日常业务经营与行政管理。</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二、公司治理结构</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（一）关于股东和股东会</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股东以本地股东为主，符合本土化的基本原则。法人股东涵盖金融业、批发和零售业、房地产业、制造业等行业，股权结构多元化。本行股东持股相对均衡，持股占比均符合监管规定，最大股东的持股占比为14.11%。</w:t>
      </w:r>
    </w:p>
    <w:p>
      <w:pPr>
        <w:autoSpaceDE w:val="0"/>
        <w:autoSpaceDN w:val="0"/>
        <w:adjustRightInd w:val="0"/>
        <w:spacing w:line="360" w:lineRule="auto"/>
        <w:ind w:firstLine="640" w:firstLineChars="200"/>
        <w:jc w:val="left"/>
        <w:rPr>
          <w:rFonts w:cs="仿宋_GB2312" w:asciiTheme="minorEastAsia" w:hAnsiTheme="minorEastAsia" w:eastAsiaTheme="minorEastAsia"/>
          <w:kern w:val="0"/>
          <w:sz w:val="30"/>
          <w:szCs w:val="30"/>
          <w:highlight w:val="none"/>
        </w:rPr>
      </w:pPr>
      <w:r>
        <w:rPr>
          <w:rFonts w:hint="eastAsia" w:ascii="仿宋_GB2312" w:hAnsi="仿宋_GB2312" w:eastAsia="仿宋_GB2312" w:cs="仿宋_GB2312"/>
          <w:kern w:val="0"/>
          <w:sz w:val="32"/>
          <w:szCs w:val="32"/>
          <w:highlight w:val="none"/>
        </w:rPr>
        <w:t>本行</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由全体股东组成，是本行的</w:t>
      </w:r>
      <w:r>
        <w:rPr>
          <w:rFonts w:hint="eastAsia" w:ascii="仿宋_GB2312" w:hAnsi="仿宋_GB2312" w:eastAsia="仿宋_GB2312" w:cs="仿宋_GB2312"/>
          <w:kern w:val="0"/>
          <w:sz w:val="32"/>
          <w:szCs w:val="32"/>
          <w:highlight w:val="none"/>
          <w:lang w:val="en-US" w:eastAsia="zh-CN"/>
        </w:rPr>
        <w:t>最高</w:t>
      </w:r>
      <w:r>
        <w:rPr>
          <w:rFonts w:hint="eastAsia" w:ascii="仿宋_GB2312" w:hAnsi="仿宋_GB2312" w:eastAsia="仿宋_GB2312" w:cs="仿宋_GB2312"/>
          <w:kern w:val="0"/>
          <w:sz w:val="32"/>
          <w:szCs w:val="32"/>
          <w:highlight w:val="none"/>
        </w:rPr>
        <w:t>权力机构，依法行使修改章程，选举和更换由非职工代表担任的董事，审议批准利润分配方案和弥补亏损方案，对增加或者减少注册资本，对本行合并、分立、解散、清算或者变更本行公司形式等重大事项作出决议等职权。</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分为年度</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和临时</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，根据相关法律、法规、本行章程和</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议事规则的规定召集和召开。</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（二）关于董事和董事会</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1.董事会构成及运作情况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本行设董事会，对</w:t>
      </w:r>
      <w:r>
        <w:rPr>
          <w:rFonts w:hint="eastAsia" w:ascii="仿宋_GB2312" w:hAnsi="仿宋_GB2312" w:eastAsia="仿宋_GB2312" w:cs="仿宋_GB2312"/>
          <w:kern w:val="0"/>
          <w:sz w:val="32"/>
          <w:szCs w:val="32"/>
          <w:highlight w:val="none"/>
          <w:lang w:eastAsia="zh-CN"/>
        </w:rPr>
        <w:t>股东会</w:t>
      </w:r>
      <w:r>
        <w:rPr>
          <w:rFonts w:hint="eastAsia" w:ascii="仿宋_GB2312" w:hAnsi="仿宋_GB2312" w:eastAsia="仿宋_GB2312" w:cs="仿宋_GB2312"/>
          <w:kern w:val="0"/>
          <w:sz w:val="32"/>
          <w:szCs w:val="32"/>
          <w:highlight w:val="none"/>
        </w:rPr>
        <w:t>负责，承担本行经营和管理的最终责任。本行第</w:t>
      </w:r>
      <w:r>
        <w:rPr>
          <w:rFonts w:hint="eastAsia" w:ascii="仿宋_GB2312" w:hAnsi="仿宋_GB2312" w:eastAsia="仿宋_GB2312" w:cs="仿宋_GB2312"/>
          <w:kern w:val="0"/>
          <w:sz w:val="32"/>
          <w:szCs w:val="32"/>
          <w:highlight w:val="none"/>
          <w:lang w:val="en-US" w:eastAsia="zh-CN"/>
        </w:rPr>
        <w:t>二</w:t>
      </w:r>
      <w:r>
        <w:rPr>
          <w:rFonts w:hint="eastAsia" w:ascii="仿宋_GB2312" w:hAnsi="仿宋_GB2312" w:eastAsia="仿宋_GB2312" w:cs="仿宋_GB2312"/>
          <w:kern w:val="0"/>
          <w:sz w:val="32"/>
          <w:szCs w:val="32"/>
          <w:highlight w:val="none"/>
        </w:rPr>
        <w:t>届董事会</w:t>
      </w:r>
      <w:r>
        <w:rPr>
          <w:rFonts w:hint="eastAsia" w:ascii="仿宋_GB2312" w:hAnsi="仿宋_GB2312" w:eastAsia="仿宋_GB2312" w:cs="仿宋_GB2312"/>
          <w:kern w:val="0"/>
          <w:sz w:val="32"/>
          <w:szCs w:val="32"/>
          <w:highlight w:val="none"/>
          <w:lang w:val="en-US" w:eastAsia="zh-CN"/>
        </w:rPr>
        <w:t>由</w:t>
      </w:r>
      <w:r>
        <w:rPr>
          <w:rFonts w:hint="eastAsia" w:ascii="仿宋_GB2312" w:hAnsi="仿宋_GB2312" w:eastAsia="仿宋_GB2312" w:cs="仿宋_GB2312"/>
          <w:kern w:val="0"/>
          <w:sz w:val="32"/>
          <w:szCs w:val="32"/>
          <w:highlight w:val="none"/>
        </w:rPr>
        <w:t>董事</w:t>
      </w:r>
      <w:r>
        <w:rPr>
          <w:rFonts w:hint="eastAsia" w:ascii="仿宋_GB2312" w:hAnsi="仿宋_GB2312" w:eastAsia="仿宋_GB2312" w:cs="仿宋_GB2312"/>
          <w:kern w:val="0"/>
          <w:sz w:val="32"/>
          <w:szCs w:val="32"/>
          <w:highlight w:val="none"/>
          <w:lang w:val="en-US" w:eastAsia="zh-CN"/>
        </w:rPr>
        <w:t>9</w:t>
      </w:r>
      <w:r>
        <w:rPr>
          <w:rFonts w:hint="eastAsia" w:ascii="仿宋_GB2312" w:hAnsi="仿宋_GB2312" w:eastAsia="仿宋_GB2312" w:cs="仿宋_GB2312"/>
          <w:kern w:val="0"/>
          <w:sz w:val="32"/>
          <w:szCs w:val="32"/>
          <w:highlight w:val="none"/>
        </w:rPr>
        <w:t>名</w:t>
      </w:r>
      <w:r>
        <w:rPr>
          <w:rFonts w:hint="eastAsia" w:ascii="仿宋_GB2312" w:hAnsi="仿宋_GB2312" w:eastAsia="仿宋_GB2312" w:cs="仿宋_GB2312"/>
          <w:kern w:val="0"/>
          <w:sz w:val="32"/>
          <w:szCs w:val="32"/>
          <w:highlight w:val="none"/>
          <w:lang w:val="en-US" w:eastAsia="zh-CN"/>
        </w:rPr>
        <w:t>组成</w:t>
      </w:r>
      <w:r>
        <w:rPr>
          <w:rFonts w:hint="eastAsia" w:ascii="仿宋_GB2312" w:hAnsi="仿宋_GB2312" w:eastAsia="仿宋_GB2312" w:cs="仿宋_GB2312"/>
          <w:kern w:val="0"/>
          <w:sz w:val="32"/>
          <w:szCs w:val="32"/>
          <w:highlight w:val="none"/>
        </w:rPr>
        <w:t>，其中</w:t>
      </w:r>
      <w:r>
        <w:rPr>
          <w:rFonts w:hint="eastAsia" w:ascii="仿宋_GB2312" w:hAnsi="仿宋_GB2312" w:eastAsia="仿宋_GB2312" w:cs="仿宋_GB2312"/>
          <w:kern w:val="0"/>
          <w:sz w:val="32"/>
          <w:szCs w:val="32"/>
          <w:highlight w:val="none"/>
          <w:lang w:val="en-US" w:eastAsia="zh-CN"/>
        </w:rPr>
        <w:t>执行董事1名，</w:t>
      </w:r>
      <w:r>
        <w:rPr>
          <w:rFonts w:hint="eastAsia" w:ascii="仿宋_GB2312" w:hAnsi="仿宋_GB2312" w:eastAsia="仿宋_GB2312" w:cs="仿宋_GB2312"/>
          <w:kern w:val="0"/>
          <w:sz w:val="32"/>
          <w:szCs w:val="32"/>
          <w:highlight w:val="none"/>
        </w:rPr>
        <w:t>职工董事</w:t>
      </w:r>
      <w:r>
        <w:rPr>
          <w:rFonts w:hint="eastAsia" w:ascii="仿宋_GB2312" w:hAnsi="仿宋_GB2312" w:eastAsia="仿宋_GB2312" w:cs="仿宋_GB2312"/>
          <w:kern w:val="0"/>
          <w:sz w:val="32"/>
          <w:szCs w:val="32"/>
          <w:highlight w:val="none"/>
          <w:lang w:val="en-US" w:eastAsia="zh-CN"/>
        </w:rPr>
        <w:t>2</w:t>
      </w:r>
      <w:r>
        <w:rPr>
          <w:rFonts w:hint="eastAsia" w:ascii="仿宋_GB2312" w:hAnsi="仿宋_GB2312" w:eastAsia="仿宋_GB2312" w:cs="仿宋_GB2312"/>
          <w:kern w:val="0"/>
          <w:sz w:val="32"/>
          <w:szCs w:val="32"/>
          <w:highlight w:val="none"/>
        </w:rPr>
        <w:t>名，股权董事3名，独立董事</w:t>
      </w:r>
      <w:r>
        <w:rPr>
          <w:rFonts w:hint="eastAsia" w:ascii="仿宋_GB2312" w:hAnsi="仿宋_GB2312" w:eastAsia="仿宋_GB2312" w:cs="仿宋_GB2312"/>
          <w:kern w:val="0"/>
          <w:sz w:val="32"/>
          <w:szCs w:val="32"/>
          <w:highlight w:val="none"/>
          <w:lang w:val="en-US" w:eastAsia="zh-CN"/>
        </w:rPr>
        <w:t>3</w:t>
      </w:r>
      <w:r>
        <w:rPr>
          <w:rFonts w:hint="eastAsia" w:ascii="仿宋_GB2312" w:hAnsi="仿宋_GB2312" w:eastAsia="仿宋_GB2312" w:cs="仿宋_GB2312"/>
          <w:kern w:val="0"/>
          <w:sz w:val="32"/>
          <w:szCs w:val="32"/>
          <w:highlight w:val="none"/>
        </w:rPr>
        <w:t>名。董事会的人数和人员设置符合法律法规的要求。全体董事均能认真出席会议并审议各项议案，勤勉尽职，有效发挥决策职能，维护全体股东和本行整体利益。</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报告期内，召开董事会会议</w:t>
      </w:r>
      <w:r>
        <w:rPr>
          <w:rFonts w:hint="eastAsia" w:ascii="仿宋_GB2312" w:hAnsi="仿宋_GB2312" w:eastAsia="仿宋_GB2312" w:cs="仿宋_GB2312"/>
          <w:kern w:val="0"/>
          <w:sz w:val="32"/>
          <w:szCs w:val="32"/>
          <w:highlight w:val="none"/>
          <w:lang w:val="en-US" w:eastAsia="zh-CN"/>
        </w:rPr>
        <w:t>11</w:t>
      </w:r>
      <w:r>
        <w:rPr>
          <w:rFonts w:hint="eastAsia" w:ascii="仿宋_GB2312" w:hAnsi="仿宋_GB2312" w:eastAsia="仿宋_GB2312" w:cs="仿宋_GB2312"/>
          <w:kern w:val="0"/>
          <w:sz w:val="32"/>
          <w:szCs w:val="32"/>
          <w:highlight w:val="none"/>
        </w:rPr>
        <w:t>次，</w:t>
      </w:r>
      <w:r>
        <w:rPr>
          <w:rFonts w:hint="eastAsia" w:ascii="仿宋_GB2312" w:hAnsi="仿宋_GB2312" w:eastAsia="仿宋_GB2312" w:cs="仿宋_GB2312"/>
          <w:kern w:val="0"/>
          <w:sz w:val="32"/>
          <w:szCs w:val="32"/>
          <w:highlight w:val="none"/>
          <w:lang w:val="en-US" w:eastAsia="zh-CN"/>
        </w:rPr>
        <w:t>其中定期会议4次，临时会议7次，</w:t>
      </w:r>
      <w:r>
        <w:rPr>
          <w:rFonts w:hint="eastAsia" w:ascii="仿宋_GB2312" w:hAnsi="仿宋_GB2312" w:eastAsia="仿宋_GB2312" w:cs="仿宋_GB2312"/>
          <w:kern w:val="0"/>
          <w:sz w:val="32"/>
          <w:szCs w:val="32"/>
          <w:highlight w:val="none"/>
        </w:rPr>
        <w:t>共审议通过了涉及</w:t>
      </w:r>
      <w:r>
        <w:rPr>
          <w:rFonts w:hint="eastAsia" w:ascii="仿宋_GB2312" w:hAnsi="仿宋_GB2312" w:eastAsia="仿宋_GB2312" w:cs="仿宋_GB2312"/>
          <w:kern w:val="0"/>
          <w:sz w:val="32"/>
          <w:szCs w:val="32"/>
          <w:highlight w:val="none"/>
          <w:lang w:val="en-US" w:eastAsia="zh-CN"/>
        </w:rPr>
        <w:t>高管聘免</w:t>
      </w:r>
      <w:r>
        <w:rPr>
          <w:rFonts w:hint="eastAsia" w:ascii="仿宋_GB2312" w:hAnsi="仿宋_GB2312" w:eastAsia="仿宋_GB2312" w:cs="仿宋_GB2312"/>
          <w:kern w:val="0"/>
          <w:sz w:val="32"/>
          <w:szCs w:val="32"/>
          <w:highlight w:val="none"/>
        </w:rPr>
        <w:t>、岗位职责、高管薪酬、</w:t>
      </w:r>
      <w:r>
        <w:rPr>
          <w:rFonts w:hint="eastAsia" w:ascii="仿宋_GB2312" w:hAnsi="仿宋_GB2312" w:eastAsia="仿宋_GB2312" w:cs="仿宋_GB2312"/>
          <w:kern w:val="0"/>
          <w:sz w:val="32"/>
          <w:szCs w:val="32"/>
          <w:highlight w:val="none"/>
          <w:lang w:val="en-US" w:eastAsia="zh-CN"/>
        </w:rPr>
        <w:t>年度预算决算</w:t>
      </w:r>
      <w:r>
        <w:rPr>
          <w:rFonts w:hint="eastAsia" w:ascii="仿宋_GB2312" w:hAnsi="仿宋_GB2312" w:eastAsia="仿宋_GB2312" w:cs="仿宋_GB2312"/>
          <w:kern w:val="0"/>
          <w:sz w:val="32"/>
          <w:szCs w:val="32"/>
          <w:highlight w:val="none"/>
        </w:rPr>
        <w:t>等</w:t>
      </w:r>
      <w:r>
        <w:rPr>
          <w:rFonts w:hint="eastAsia" w:ascii="仿宋_GB2312" w:hAnsi="仿宋_GB2312" w:eastAsia="仿宋_GB2312" w:cs="仿宋_GB2312"/>
          <w:kern w:val="0"/>
          <w:sz w:val="32"/>
          <w:szCs w:val="32"/>
          <w:highlight w:val="none"/>
          <w:lang w:val="en-US" w:eastAsia="zh-CN"/>
        </w:rPr>
        <w:t>147</w:t>
      </w:r>
      <w:r>
        <w:rPr>
          <w:rFonts w:hint="eastAsia" w:ascii="仿宋_GB2312" w:hAnsi="仿宋_GB2312" w:eastAsia="仿宋_GB2312" w:cs="仿宋_GB2312"/>
          <w:kern w:val="0"/>
          <w:sz w:val="32"/>
          <w:szCs w:val="32"/>
          <w:highlight w:val="none"/>
        </w:rPr>
        <w:t>项议案，分别形成董事会决议</w:t>
      </w:r>
      <w:r>
        <w:rPr>
          <w:rFonts w:hint="eastAsia" w:ascii="仿宋_GB2312" w:hAnsi="仿宋_GB2312" w:eastAsia="仿宋_GB2312" w:cs="仿宋_GB2312"/>
          <w:kern w:val="0"/>
          <w:sz w:val="32"/>
          <w:szCs w:val="32"/>
          <w:highlight w:val="none"/>
          <w:lang w:val="en-US" w:eastAsia="zh-CN"/>
        </w:rPr>
        <w:t>147</w:t>
      </w:r>
      <w:r>
        <w:rPr>
          <w:rFonts w:hint="eastAsia" w:ascii="仿宋_GB2312" w:hAnsi="仿宋_GB2312" w:eastAsia="仿宋_GB2312" w:cs="仿宋_GB2312"/>
          <w:kern w:val="0"/>
          <w:sz w:val="32"/>
          <w:szCs w:val="32"/>
          <w:highlight w:val="none"/>
        </w:rPr>
        <w:t>项，并定期听取业务经营情况等报告</w:t>
      </w:r>
      <w:r>
        <w:rPr>
          <w:rFonts w:hint="eastAsia" w:ascii="仿宋_GB2312" w:hAnsi="仿宋_GB2312" w:eastAsia="仿宋_GB2312" w:cs="仿宋_GB2312"/>
          <w:kern w:val="0"/>
          <w:sz w:val="32"/>
          <w:szCs w:val="32"/>
          <w:highlight w:val="none"/>
          <w:lang w:val="en-US" w:eastAsia="zh-CN"/>
        </w:rPr>
        <w:t>62份</w:t>
      </w:r>
      <w:r>
        <w:rPr>
          <w:rFonts w:hint="eastAsia" w:ascii="仿宋_GB2312" w:hAnsi="仿宋_GB2312" w:eastAsia="仿宋_GB2312" w:cs="仿宋_GB2312"/>
          <w:kern w:val="0"/>
          <w:sz w:val="32"/>
          <w:szCs w:val="32"/>
          <w:highlight w:val="none"/>
        </w:rPr>
        <w:t>。</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w:t>
      </w:r>
      <w:r>
        <w:rPr>
          <w:rFonts w:hint="eastAsia" w:ascii="仿宋_GB2312" w:hAnsi="仿宋_GB2312" w:eastAsia="仿宋_GB2312" w:cs="仿宋_GB2312"/>
          <w:kern w:val="0"/>
          <w:sz w:val="32"/>
          <w:szCs w:val="32"/>
          <w:highlight w:val="none"/>
          <w:lang w:val="en-US" w:eastAsia="zh-CN"/>
        </w:rPr>
        <w:t>报告期内</w:t>
      </w:r>
      <w:r>
        <w:rPr>
          <w:rFonts w:hint="eastAsia" w:ascii="仿宋_GB2312" w:hAnsi="仿宋_GB2312" w:eastAsia="仿宋_GB2312" w:cs="仿宋_GB2312"/>
          <w:kern w:val="0"/>
          <w:sz w:val="32"/>
          <w:szCs w:val="32"/>
          <w:highlight w:val="none"/>
        </w:rPr>
        <w:t>董事出席会议情况</w:t>
      </w:r>
    </w:p>
    <w:p>
      <w:pPr>
        <w:autoSpaceDE w:val="0"/>
        <w:autoSpaceDN w:val="0"/>
        <w:adjustRightInd w:val="0"/>
        <w:ind w:firstLine="360" w:firstLineChars="200"/>
        <w:jc w:val="right"/>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亲自出席次数/应出席会议次数</w:t>
      </w:r>
    </w:p>
    <w:tbl>
      <w:tblPr>
        <w:tblStyle w:val="21"/>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014"/>
        <w:gridCol w:w="900"/>
        <w:gridCol w:w="900"/>
        <w:gridCol w:w="900"/>
        <w:gridCol w:w="900"/>
        <w:gridCol w:w="90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restart"/>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董事</w:t>
            </w:r>
          </w:p>
        </w:tc>
        <w:tc>
          <w:tcPr>
            <w:tcW w:w="1014" w:type="dxa"/>
            <w:vMerge w:val="restart"/>
            <w:vAlign w:val="center"/>
          </w:tcPr>
          <w:p>
            <w:pPr>
              <w:autoSpaceDE w:val="0"/>
              <w:autoSpaceDN w:val="0"/>
              <w:adjustRightInd w:val="0"/>
              <w:jc w:val="center"/>
              <w:rPr>
                <w:rFonts w:hint="eastAsia" w:cs="FangSong_GB2312,Bold" w:asciiTheme="minorEastAsia" w:hAnsiTheme="minorEastAsia" w:eastAsiaTheme="minorEastAsia"/>
                <w:bCs/>
                <w:kern w:val="0"/>
                <w:sz w:val="18"/>
                <w:szCs w:val="18"/>
                <w:highlight w:val="none"/>
                <w:lang w:eastAsia="zh-CN"/>
              </w:rPr>
            </w:pPr>
            <w:r>
              <w:rPr>
                <w:rFonts w:hint="eastAsia" w:cs="FangSong_GB2312,Bold" w:asciiTheme="minorEastAsia" w:hAnsiTheme="minorEastAsia" w:eastAsiaTheme="minorEastAsia"/>
                <w:bCs/>
                <w:kern w:val="0"/>
                <w:sz w:val="18"/>
                <w:szCs w:val="18"/>
                <w:highlight w:val="none"/>
                <w:lang w:eastAsia="zh-CN"/>
              </w:rPr>
              <w:t>股东会</w:t>
            </w:r>
          </w:p>
        </w:tc>
        <w:tc>
          <w:tcPr>
            <w:tcW w:w="900" w:type="dxa"/>
            <w:vMerge w:val="restart"/>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董事会</w:t>
            </w:r>
          </w:p>
        </w:tc>
        <w:tc>
          <w:tcPr>
            <w:tcW w:w="5400" w:type="dxa"/>
            <w:gridSpan w:val="6"/>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董事会下设委员会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2" w:type="dxa"/>
            <w:vMerge w:val="continue"/>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p>
        </w:tc>
        <w:tc>
          <w:tcPr>
            <w:tcW w:w="1014" w:type="dxa"/>
            <w:vMerge w:val="continue"/>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p>
        </w:tc>
        <w:tc>
          <w:tcPr>
            <w:tcW w:w="900" w:type="dxa"/>
            <w:vMerge w:val="continue"/>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风险管理与关联交易控制委员会</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战略规划委员会</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薪酬及提名委员会</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消费者权益保护委员会</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三农</w:t>
            </w:r>
          </w:p>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委员会</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审计</w:t>
            </w:r>
          </w:p>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96" w:type="dxa"/>
            <w:gridSpan w:val="9"/>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职工董事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何文肇</w:t>
            </w:r>
          </w:p>
        </w:tc>
        <w:tc>
          <w:tcPr>
            <w:tcW w:w="1014"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w:t>
            </w:r>
            <w:r>
              <w:rPr>
                <w:rFonts w:hint="eastAsia" w:cs="FangSong_GB2312,Bold" w:asciiTheme="minorEastAsia" w:hAnsiTheme="minorEastAsia" w:eastAsiaTheme="minorEastAsia"/>
                <w:bCs/>
                <w:kern w:val="0"/>
                <w:szCs w:val="21"/>
                <w:highlight w:val="none"/>
              </w:rPr>
              <w:t>/</w:t>
            </w:r>
            <w:r>
              <w:rPr>
                <w:rFonts w:hint="eastAsia" w:cs="FangSong_GB2312,Bold" w:asciiTheme="minorEastAsia" w:hAnsiTheme="minorEastAsia" w:eastAsiaTheme="minorEastAsia"/>
                <w:bCs/>
                <w:kern w:val="0"/>
                <w:szCs w:val="21"/>
                <w:highlight w:val="none"/>
                <w:lang w:val="en-US" w:eastAsia="zh-CN"/>
              </w:rPr>
              <w:t>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4</w:t>
            </w:r>
            <w:r>
              <w:rPr>
                <w:rFonts w:hint="eastAsia" w:cs="FangSong_GB2312,Bold" w:asciiTheme="minorEastAsia" w:hAnsiTheme="minorEastAsia" w:eastAsiaTheme="minorEastAsia"/>
                <w:bCs/>
                <w:kern w:val="0"/>
                <w:szCs w:val="21"/>
                <w:highlight w:val="none"/>
              </w:rPr>
              <w:t>/</w:t>
            </w:r>
            <w:r>
              <w:rPr>
                <w:rFonts w:hint="eastAsia" w:cs="FangSong_GB2312,Bold" w:asciiTheme="minorEastAsia" w:hAnsiTheme="minorEastAsia" w:eastAsiaTheme="minorEastAsia"/>
                <w:bCs/>
                <w:kern w:val="0"/>
                <w:szCs w:val="21"/>
                <w:highlight w:val="none"/>
                <w:lang w:val="en-US" w:eastAsia="zh-CN"/>
              </w:rPr>
              <w:t>4</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4/4</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3/3</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eastAsia" w:cs="宋体" w:asciiTheme="minorEastAsia" w:hAnsiTheme="minorEastAsia" w:eastAsiaTheme="minorEastAsia"/>
                <w:kern w:val="0"/>
                <w:sz w:val="18"/>
                <w:szCs w:val="18"/>
                <w:highlight w:val="none"/>
                <w:lang w:val="en-US" w:eastAsia="zh-CN" w:bidi="ar-SA"/>
              </w:rPr>
            </w:pPr>
            <w:r>
              <w:rPr>
                <w:rFonts w:hint="eastAsia" w:cs="宋体" w:asciiTheme="minorEastAsia" w:hAnsiTheme="minorEastAsia" w:eastAsiaTheme="minorEastAsia"/>
                <w:kern w:val="0"/>
                <w:sz w:val="18"/>
                <w:szCs w:val="18"/>
                <w:highlight w:val="none"/>
                <w:lang w:val="en-US" w:eastAsia="zh-CN"/>
              </w:rPr>
              <w:t>唐世旋</w:t>
            </w:r>
          </w:p>
        </w:tc>
        <w:tc>
          <w:tcPr>
            <w:tcW w:w="1014"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2</w:t>
            </w:r>
            <w:r>
              <w:rPr>
                <w:rFonts w:hint="eastAsia" w:cs="FangSong_GB2312,Bold" w:asciiTheme="minorEastAsia" w:hAnsiTheme="minorEastAsia" w:eastAsiaTheme="minorEastAsia"/>
                <w:bCs/>
                <w:kern w:val="0"/>
                <w:szCs w:val="21"/>
                <w:highlight w:val="none"/>
              </w:rPr>
              <w:t>/</w:t>
            </w:r>
            <w:r>
              <w:rPr>
                <w:rFonts w:hint="eastAsia" w:cs="FangSong_GB2312,Bold" w:asciiTheme="minorEastAsia" w:hAnsiTheme="minorEastAsia" w:eastAsiaTheme="minorEastAsia"/>
                <w:bCs/>
                <w:kern w:val="0"/>
                <w:szCs w:val="21"/>
                <w:highlight w:val="none"/>
                <w:lang w:val="en-US" w:eastAsia="zh-CN"/>
              </w:rPr>
              <w:t>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11</w:t>
            </w:r>
            <w:r>
              <w:rPr>
                <w:rFonts w:hint="eastAsia" w:cs="FangSong_GB2312,Bold" w:asciiTheme="minorEastAsia" w:hAnsiTheme="minorEastAsia" w:eastAsiaTheme="minorEastAsia"/>
                <w:bCs/>
                <w:kern w:val="0"/>
                <w:szCs w:val="21"/>
                <w:highlight w:val="none"/>
              </w:rPr>
              <w:t>/</w:t>
            </w:r>
            <w:r>
              <w:rPr>
                <w:rFonts w:hint="eastAsia" w:cs="FangSong_GB2312,Bold" w:asciiTheme="minorEastAsia" w:hAnsiTheme="minorEastAsia" w:eastAsiaTheme="minorEastAsia"/>
                <w:bCs/>
                <w:kern w:val="0"/>
                <w:szCs w:val="21"/>
                <w:highlight w:val="none"/>
                <w:lang w:val="en-US" w:eastAsia="zh-CN"/>
              </w:rPr>
              <w:t>11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5/5</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3/3</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温可炬</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10/11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4/4</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3/3</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9/9</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6/6</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96" w:type="dxa"/>
            <w:gridSpan w:val="9"/>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 w:val="18"/>
                <w:szCs w:val="18"/>
                <w:highlight w:val="none"/>
                <w:lang w:val="en-US" w:eastAsia="zh-CN"/>
              </w:rPr>
              <w:t>执行</w:t>
            </w:r>
            <w:r>
              <w:rPr>
                <w:rFonts w:hint="eastAsia" w:cs="FangSong_GB2312,Bold" w:asciiTheme="minorEastAsia" w:hAnsiTheme="minorEastAsia" w:eastAsiaTheme="minorEastAsia"/>
                <w:bCs/>
                <w:kern w:val="0"/>
                <w:sz w:val="18"/>
                <w:szCs w:val="18"/>
                <w:highlight w:val="none"/>
              </w:rPr>
              <w:t>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黄振邦</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96" w:type="dxa"/>
            <w:gridSpan w:val="9"/>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股权董事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王国峰</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rPr>
            </w:pPr>
            <w:r>
              <w:rPr>
                <w:rFonts w:hint="eastAsia" w:cs="FangSong_GB2312,Bold" w:asciiTheme="minorEastAsia" w:hAnsiTheme="minorEastAsia" w:eastAsiaTheme="minorEastAsia"/>
                <w:bCs/>
                <w:kern w:val="0"/>
                <w:szCs w:val="21"/>
                <w:highlight w:val="none"/>
                <w:lang w:val="en-US" w:eastAsia="zh-CN"/>
              </w:rPr>
              <w:t>11/11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5/5</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刘剑忠</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11/11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Cs w:val="21"/>
                <w:highlight w:val="none"/>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许飞</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cs="FangSong_GB2312,Bold" w:asciiTheme="minorEastAsia" w:hAnsiTheme="minorEastAsia" w:eastAsiaTheme="minorEastAsia"/>
                <w:bCs/>
                <w:kern w:val="0"/>
                <w:szCs w:val="21"/>
                <w:highlight w:val="none"/>
              </w:rPr>
            </w:pPr>
            <w:r>
              <w:rPr>
                <w:rFonts w:hint="eastAsia" w:cs="FangSong_GB2312,Bold" w:asciiTheme="minorEastAsia" w:hAnsiTheme="minorEastAsia" w:eastAsiaTheme="minorEastAsia"/>
                <w:bCs/>
                <w:kern w:val="0"/>
                <w:szCs w:val="21"/>
                <w:highlight w:val="none"/>
              </w:rPr>
              <w:t>1</w:t>
            </w:r>
            <w:r>
              <w:rPr>
                <w:rFonts w:hint="eastAsia" w:cs="FangSong_GB2312,Bold" w:asciiTheme="minorEastAsia" w:hAnsiTheme="minorEastAsia" w:eastAsiaTheme="minorEastAsia"/>
                <w:bCs/>
                <w:kern w:val="0"/>
                <w:szCs w:val="21"/>
                <w:highlight w:val="none"/>
                <w:lang w:val="en-US" w:eastAsia="zh-CN"/>
              </w:rPr>
              <w:t>0</w:t>
            </w:r>
            <w:r>
              <w:rPr>
                <w:rFonts w:hint="eastAsia" w:cs="FangSong_GB2312,Bold" w:asciiTheme="minorEastAsia" w:hAnsiTheme="minorEastAsia" w:eastAsiaTheme="minorEastAsia"/>
                <w:bCs/>
                <w:kern w:val="0"/>
                <w:szCs w:val="21"/>
                <w:highlight w:val="none"/>
              </w:rPr>
              <w:t>/</w:t>
            </w:r>
            <w:r>
              <w:rPr>
                <w:rFonts w:hint="eastAsia" w:cs="FangSong_GB2312,Bold" w:asciiTheme="minorEastAsia" w:hAnsiTheme="minorEastAsia" w:eastAsiaTheme="minorEastAsia"/>
                <w:bCs/>
                <w:kern w:val="0"/>
                <w:szCs w:val="21"/>
                <w:highlight w:val="none"/>
                <w:lang w:val="en-US" w:eastAsia="zh-CN"/>
              </w:rPr>
              <w:t>11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6/6</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496" w:type="dxa"/>
            <w:gridSpan w:val="9"/>
            <w:vAlign w:val="center"/>
          </w:tcPr>
          <w:p>
            <w:pPr>
              <w:autoSpaceDE w:val="0"/>
              <w:autoSpaceDN w:val="0"/>
              <w:adjustRightInd w:val="0"/>
              <w:jc w:val="center"/>
              <w:rPr>
                <w:rFonts w:cs="FangSong_GB2312,Bold" w:asciiTheme="minorEastAsia" w:hAnsiTheme="minorEastAsia" w:eastAsiaTheme="minorEastAsia"/>
                <w:bCs/>
                <w:kern w:val="0"/>
                <w:sz w:val="18"/>
                <w:szCs w:val="18"/>
                <w:highlight w:val="none"/>
              </w:rPr>
            </w:pPr>
            <w:r>
              <w:rPr>
                <w:rFonts w:hint="eastAsia" w:cs="FangSong_GB2312,Bold" w:asciiTheme="minorEastAsia" w:hAnsiTheme="minorEastAsia" w:eastAsiaTheme="minorEastAsia"/>
                <w:bCs/>
                <w:kern w:val="0"/>
                <w:sz w:val="18"/>
                <w:szCs w:val="18"/>
                <w:highlight w:val="none"/>
              </w:rPr>
              <w:t>独立董事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李满枝</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11/11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8/8</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阮傍根</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11/11</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8/8</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9/9</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2" w:type="dxa"/>
            <w:vAlign w:val="center"/>
          </w:tcPr>
          <w:p>
            <w:pPr>
              <w:widowControl/>
              <w:jc w:val="center"/>
              <w:rPr>
                <w:rFonts w:hint="default" w:cs="宋体" w:asciiTheme="minorEastAsia" w:hAnsiTheme="minorEastAsia" w:eastAsiaTheme="minorEastAsia"/>
                <w:kern w:val="0"/>
                <w:sz w:val="18"/>
                <w:szCs w:val="18"/>
                <w:highlight w:val="none"/>
                <w:lang w:val="en-US" w:eastAsia="zh-CN"/>
              </w:rPr>
            </w:pPr>
            <w:r>
              <w:rPr>
                <w:rFonts w:hint="eastAsia" w:cs="宋体" w:asciiTheme="minorEastAsia" w:hAnsiTheme="minorEastAsia" w:eastAsiaTheme="minorEastAsia"/>
                <w:kern w:val="0"/>
                <w:sz w:val="18"/>
                <w:szCs w:val="18"/>
                <w:highlight w:val="none"/>
                <w:lang w:val="en-US" w:eastAsia="zh-CN"/>
              </w:rPr>
              <w:t>廖月好</w:t>
            </w:r>
          </w:p>
        </w:tc>
        <w:tc>
          <w:tcPr>
            <w:tcW w:w="1014"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2/2</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11/11</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 w:val="21"/>
                <w:szCs w:val="21"/>
                <w:highlight w:val="none"/>
                <w:lang w:val="en-US" w:eastAsia="zh-CN" w:bidi="ar-SA"/>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default"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9/9</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c>
          <w:tcPr>
            <w:tcW w:w="900" w:type="dxa"/>
            <w:vAlign w:val="center"/>
          </w:tcPr>
          <w:p>
            <w:pPr>
              <w:autoSpaceDE w:val="0"/>
              <w:autoSpaceDN w:val="0"/>
              <w:adjustRightInd w:val="0"/>
              <w:jc w:val="center"/>
              <w:rPr>
                <w:rFonts w:hint="eastAsia" w:cs="FangSong_GB2312,Bold" w:asciiTheme="minorEastAsia" w:hAnsiTheme="minorEastAsia" w:eastAsiaTheme="minorEastAsia"/>
                <w:bCs/>
                <w:kern w:val="0"/>
                <w:szCs w:val="21"/>
                <w:highlight w:val="none"/>
                <w:lang w:val="en-US" w:eastAsia="zh-CN"/>
              </w:rPr>
            </w:pPr>
            <w:r>
              <w:rPr>
                <w:rFonts w:hint="eastAsia" w:cs="FangSong_GB2312,Bold" w:asciiTheme="minorEastAsia" w:hAnsiTheme="minorEastAsia" w:eastAsiaTheme="minorEastAsia"/>
                <w:bCs/>
                <w:kern w:val="0"/>
                <w:szCs w:val="21"/>
                <w:highlight w:val="none"/>
                <w:lang w:val="en-US" w:eastAsia="zh-CN"/>
              </w:rPr>
              <w:t>-</w:t>
            </w:r>
          </w:p>
        </w:tc>
      </w:tr>
    </w:tbl>
    <w:p>
      <w:pPr>
        <w:autoSpaceDE w:val="0"/>
        <w:autoSpaceDN w:val="0"/>
        <w:adjustRightInd w:val="0"/>
        <w:spacing w:line="360" w:lineRule="auto"/>
        <w:ind w:firstLine="480" w:firstLineChars="200"/>
        <w:jc w:val="left"/>
        <w:rPr>
          <w:rFonts w:hint="eastAsia" w:ascii="仿宋_GB2312" w:hAnsi="仿宋_GB2312" w:eastAsia="仿宋_GB2312" w:cs="仿宋_GB2312"/>
          <w:bCs/>
          <w:kern w:val="0"/>
          <w:sz w:val="24"/>
          <w:szCs w:val="24"/>
          <w:highlight w:val="none"/>
        </w:rPr>
      </w:pPr>
      <w:r>
        <w:rPr>
          <w:rFonts w:hint="eastAsia" w:ascii="仿宋_GB2312" w:hAnsi="仿宋_GB2312" w:eastAsia="仿宋_GB2312" w:cs="仿宋_GB2312"/>
          <w:bCs/>
          <w:kern w:val="0"/>
          <w:sz w:val="24"/>
          <w:szCs w:val="24"/>
          <w:highlight w:val="none"/>
        </w:rPr>
        <w:t>注：未能亲自出席董事会会议的董事，均已委托其他董事出席并代为行使表决权。</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（三）董事会专门委员会</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行董事会下设风险管理与关联交易控制委员会、战略规划委员会、薪酬及提名委员会、消费者权益保护委员会、三农委员会、审计委员会共6个专业委员会。其中，风险管理与关联交易控制委员会、薪酬及提名委员会、审计委员会的主任委员由独立董事担任。报告期内，本行董事会各专门委员会履职情况如下：</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1.风险管理与关联交易控制委员会</w:t>
      </w:r>
    </w:p>
    <w:p>
      <w:pPr>
        <w:autoSpaceDE w:val="0"/>
        <w:autoSpaceDN w:val="0"/>
        <w:adjustRightInd w:val="0"/>
        <w:spacing w:line="360" w:lineRule="auto"/>
        <w:ind w:firstLine="640" w:firstLineChars="200"/>
        <w:jc w:val="left"/>
        <w:rPr>
          <w:rFonts w:cs="仿宋_GB2312" w:asciiTheme="minorEastAsia" w:hAnsiTheme="minorEastAsia" w:eastAsiaTheme="minorEastAsia"/>
          <w:kern w:val="0"/>
          <w:sz w:val="30"/>
          <w:szCs w:val="30"/>
          <w:highlight w:val="none"/>
        </w:rPr>
      </w:pPr>
      <w:r>
        <w:rPr>
          <w:rFonts w:hint="eastAsia" w:ascii="仿宋_GB2312" w:hAnsi="仿宋_GB2312" w:eastAsia="仿宋_GB2312" w:cs="仿宋_GB2312"/>
          <w:kern w:val="0"/>
          <w:sz w:val="32"/>
          <w:szCs w:val="32"/>
          <w:highlight w:val="none"/>
        </w:rPr>
        <w:t>截至报告期末，本行风险管理与关联交易控制委员会由3名董事构成，包括独立董事</w:t>
      </w:r>
      <w:r>
        <w:rPr>
          <w:rFonts w:hint="eastAsia" w:ascii="仿宋_GB2312" w:hAnsi="仿宋_GB2312" w:eastAsia="仿宋_GB2312" w:cs="仿宋_GB2312"/>
          <w:kern w:val="0"/>
          <w:sz w:val="32"/>
          <w:szCs w:val="32"/>
          <w:highlight w:val="none"/>
          <w:lang w:val="en-US" w:eastAsia="zh-CN"/>
        </w:rPr>
        <w:t>阮傍根先生</w:t>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kern w:val="0"/>
          <w:sz w:val="32"/>
          <w:szCs w:val="32"/>
          <w:highlight w:val="none"/>
          <w:lang w:val="en-US" w:eastAsia="zh-CN"/>
        </w:rPr>
        <w:t>李满枝</w:t>
      </w:r>
      <w:r>
        <w:rPr>
          <w:rFonts w:hint="eastAsia" w:ascii="仿宋_GB2312" w:hAnsi="仿宋_GB2312" w:eastAsia="仿宋_GB2312" w:cs="仿宋_GB2312"/>
          <w:kern w:val="0"/>
          <w:sz w:val="32"/>
          <w:szCs w:val="32"/>
          <w:highlight w:val="none"/>
        </w:rPr>
        <w:t>先生</w:t>
      </w:r>
      <w:r>
        <w:rPr>
          <w:rFonts w:hint="eastAsia" w:ascii="仿宋_GB2312" w:hAnsi="仿宋_GB2312" w:eastAsia="仿宋_GB2312" w:cs="仿宋_GB2312"/>
          <w:kern w:val="0"/>
          <w:sz w:val="32"/>
          <w:szCs w:val="32"/>
          <w:highlight w:val="none"/>
          <w:lang w:val="en-US" w:eastAsia="zh-CN"/>
        </w:rPr>
        <w:t>和执行</w:t>
      </w:r>
      <w:r>
        <w:rPr>
          <w:rFonts w:hint="eastAsia" w:ascii="仿宋_GB2312" w:hAnsi="仿宋_GB2312" w:eastAsia="仿宋_GB2312" w:cs="仿宋_GB2312"/>
          <w:kern w:val="0"/>
          <w:sz w:val="32"/>
          <w:szCs w:val="32"/>
          <w:highlight w:val="none"/>
        </w:rPr>
        <w:t>董事</w:t>
      </w:r>
      <w:r>
        <w:rPr>
          <w:rFonts w:hint="eastAsia" w:ascii="仿宋_GB2312" w:hAnsi="仿宋_GB2312" w:eastAsia="仿宋_GB2312" w:cs="仿宋_GB2312"/>
          <w:kern w:val="0"/>
          <w:sz w:val="32"/>
          <w:szCs w:val="32"/>
          <w:highlight w:val="none"/>
          <w:lang w:val="en-US" w:eastAsia="zh-CN"/>
        </w:rPr>
        <w:t>黄振邦</w:t>
      </w:r>
      <w:r>
        <w:rPr>
          <w:rFonts w:hint="eastAsia" w:ascii="仿宋_GB2312" w:hAnsi="仿宋_GB2312" w:eastAsia="仿宋_GB2312" w:cs="仿宋_GB2312"/>
          <w:kern w:val="0"/>
          <w:sz w:val="32"/>
          <w:szCs w:val="32"/>
          <w:highlight w:val="none"/>
        </w:rPr>
        <w:t>先生</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其中</w:t>
      </w:r>
      <w:r>
        <w:rPr>
          <w:rFonts w:hint="eastAsia" w:ascii="仿宋_GB2312" w:hAnsi="仿宋_GB2312" w:eastAsia="仿宋_GB2312" w:cs="仿宋_GB2312"/>
          <w:kern w:val="0"/>
          <w:sz w:val="32"/>
          <w:szCs w:val="32"/>
          <w:highlight w:val="none"/>
          <w:lang w:val="en-US" w:eastAsia="zh-CN"/>
        </w:rPr>
        <w:t>阮傍根先生</w:t>
      </w:r>
      <w:r>
        <w:rPr>
          <w:rFonts w:hint="eastAsia" w:ascii="仿宋_GB2312" w:hAnsi="仿宋_GB2312" w:eastAsia="仿宋_GB2312" w:cs="仿宋_GB2312"/>
          <w:kern w:val="0"/>
          <w:sz w:val="32"/>
          <w:szCs w:val="32"/>
          <w:highlight w:val="none"/>
        </w:rPr>
        <w:t>为主任委员。</w:t>
      </w: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295900" cy="1143000"/>
                <wp:effectExtent l="4445" t="4445" r="14605" b="14605"/>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95900" cy="1143000"/>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风险管理与关联交易控制委员会的主要职责权限包括：</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监督高级管理层关于信用风险、流动性风险、市场风险、操作风险、合规风险和声誉风险等风险的控制情况；</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对本行风险政策、管理状况及风险承受能力进行定期评估，提出完善本行风险管理和内部控制的意见；</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负责本行关联交易的管理、审查和批准，控制关联交易风险</w:t>
                            </w:r>
                            <w:r>
                              <w:rPr>
                                <w:rFonts w:hint="eastAsia" w:cs="仿宋_GB2312" w:asciiTheme="minorEastAsia" w:hAnsiTheme="minorEastAsia" w:eastAsiaTheme="minorEastAsia"/>
                                <w:kern w:val="0"/>
                                <w:sz w:val="18"/>
                                <w:szCs w:val="18"/>
                                <w:highlight w:val="none"/>
                                <w:lang w:eastAsia="zh-CN"/>
                              </w:rPr>
                              <w:t>；</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董事会授权的其他事宜。</w:t>
                            </w:r>
                          </w:p>
                          <w:p>
                            <w:pPr>
                              <w:jc w:val="left"/>
                              <w:rPr>
                                <w:color w:val="FF0000"/>
                              </w:rPr>
                            </w:pP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90pt;width:417pt;v-text-anchor:middle;" fillcolor="#FFFFFF" filled="t" stroked="t" coordsize="21600,21600" o:gfxdata="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8VTv/RAAAABQEAAA8AAAAAAAAAAQAgAAAAIgAAAGRy&#10;cy9kb3ducmV2LnhtbFBLAQIUABQAAAAIAIdO4kDZgcHYRQIAAI4EAAAOAAAAAAAAAAEAIAAAACAB&#10;AABkcnMvZTJvRG9jLnhtbFBLBQYAAAAABgAGAFkBAADXBQ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风险管理与关联交易控制委员会的主要职责权限包括：</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监督高级管理层关于信用风险、流动性风险、市场风险、操作风险、合规风险和声誉风险等风险的控制情况；</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对本行风险政策、管理状况及风险承受能力进行定期评估，提出完善本行风险管理和内部控制的意见；</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负责本行关联交易的管理、审查和批准，控制关联交易风险</w:t>
                      </w:r>
                      <w:r>
                        <w:rPr>
                          <w:rFonts w:hint="eastAsia" w:cs="仿宋_GB2312" w:asciiTheme="minorEastAsia" w:hAnsiTheme="minorEastAsia" w:eastAsiaTheme="minorEastAsia"/>
                          <w:kern w:val="0"/>
                          <w:sz w:val="18"/>
                          <w:szCs w:val="18"/>
                          <w:highlight w:val="none"/>
                          <w:lang w:eastAsia="zh-CN"/>
                        </w:rPr>
                        <w:t>；</w:t>
                      </w:r>
                    </w:p>
                    <w:p>
                      <w:pPr>
                        <w:pStyle w:val="46"/>
                        <w:numPr>
                          <w:ilvl w:val="0"/>
                          <w:numId w:val="3"/>
                        </w:numPr>
                        <w:autoSpaceDE w:val="0"/>
                        <w:autoSpaceDN w:val="0"/>
                        <w:adjustRightInd w:val="0"/>
                        <w:snapToGrid w:val="0"/>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董事会授权的其他事宜。</w:t>
                      </w:r>
                    </w:p>
                    <w:p>
                      <w:pPr>
                        <w:jc w:val="left"/>
                        <w:rPr>
                          <w:color w:val="FF0000"/>
                        </w:rPr>
                      </w:pPr>
                    </w:p>
                  </w:txbxContent>
                </v:textbox>
                <w10:wrap type="none"/>
                <w10:anchorlock/>
              </v:shape>
            </w:pict>
          </mc:Fallback>
        </mc:AlternateContent>
      </w:r>
    </w:p>
    <w:p>
      <w:pPr>
        <w:pStyle w:val="7"/>
        <w:keepNext w:val="0"/>
        <w:keepLines w:val="0"/>
        <w:pageBreakBefore w:val="0"/>
        <w:widowControl w:val="0"/>
        <w:numPr>
          <w:ilvl w:val="0"/>
          <w:numId w:val="0"/>
        </w:numPr>
        <w:pBdr>
          <w:top w:val="none" w:color="000000" w:sz="0" w:space="0"/>
          <w:left w:val="none" w:color="000000" w:sz="0" w:space="2"/>
          <w:bottom w:val="none" w:color="000000" w:sz="0" w:space="10"/>
          <w:right w:val="none" w:color="000000" w:sz="0" w:space="0"/>
        </w:pBdr>
        <w:kinsoku/>
        <w:wordWrap/>
        <w:overflowPunct/>
        <w:topLinePunct w:val="0"/>
        <w:bidi w:val="0"/>
        <w:spacing w:line="360" w:lineRule="auto"/>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报告期内，风险管理与关联交易控制委员会共召开会议8次，审议通过了</w:t>
      </w:r>
      <w:r>
        <w:rPr>
          <w:rFonts w:hint="eastAsia" w:ascii="仿宋_GB2312" w:hAnsi="仿宋_GB2312" w:eastAsia="仿宋_GB2312" w:cs="仿宋_GB2312"/>
          <w:sz w:val="32"/>
          <w:szCs w:val="32"/>
          <w:highlight w:val="none"/>
          <w:lang w:val="en-US" w:eastAsia="zh-CN"/>
        </w:rPr>
        <w:t>26项议案，听取了27项报告。</w:t>
      </w:r>
      <w:r>
        <w:rPr>
          <w:rFonts w:hint="eastAsia" w:ascii="仿宋_GB2312" w:hAnsi="仿宋_GB2312" w:eastAsia="仿宋_GB2312" w:cs="仿宋_GB2312"/>
          <w:kern w:val="0"/>
          <w:sz w:val="32"/>
          <w:szCs w:val="32"/>
          <w:highlight w:val="none"/>
          <w:lang w:val="en-US" w:eastAsia="zh-CN"/>
        </w:rPr>
        <w:t>共确认了《关联方名单》3次，能够做到对本行《关联方名单》及时跟踪、更新，并向董事会报告。根据有关规定，及时梳理、完善关联交易台账，定期监测关联方关联交易变动情况，确保本行关联交易合法合规开展，并按季向监管部门报告本行关联交易情况。</w:t>
      </w:r>
    </w:p>
    <w:p>
      <w:pPr>
        <w:pStyle w:val="7"/>
        <w:keepNext w:val="0"/>
        <w:keepLines w:val="0"/>
        <w:pageBreakBefore w:val="0"/>
        <w:widowControl w:val="0"/>
        <w:numPr>
          <w:ilvl w:val="0"/>
          <w:numId w:val="0"/>
        </w:numPr>
        <w:pBdr>
          <w:top w:val="none" w:color="000000" w:sz="0" w:space="0"/>
          <w:left w:val="none" w:color="000000" w:sz="0" w:space="2"/>
          <w:bottom w:val="none" w:color="000000" w:sz="0" w:space="10"/>
          <w:right w:val="none" w:color="000000" w:sz="0" w:space="0"/>
        </w:pBdr>
        <w:kinsoku/>
        <w:wordWrap/>
        <w:overflowPunct/>
        <w:topLinePunct w:val="0"/>
        <w:bidi w:val="0"/>
        <w:spacing w:line="360" w:lineRule="auto"/>
        <w:ind w:firstLine="640" w:firstLineChars="200"/>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2.战略规划委员会</w:t>
      </w:r>
    </w:p>
    <w:p>
      <w:pPr>
        <w:pStyle w:val="7"/>
        <w:keepNext w:val="0"/>
        <w:keepLines w:val="0"/>
        <w:pageBreakBefore w:val="0"/>
        <w:widowControl w:val="0"/>
        <w:numPr>
          <w:ilvl w:val="0"/>
          <w:numId w:val="0"/>
        </w:numPr>
        <w:pBdr>
          <w:top w:val="none" w:color="000000" w:sz="0" w:space="0"/>
          <w:left w:val="none" w:color="000000" w:sz="0" w:space="2"/>
          <w:bottom w:val="none" w:color="000000" w:sz="0" w:space="10"/>
          <w:right w:val="none" w:color="000000" w:sz="0" w:space="0"/>
        </w:pBdr>
        <w:kinsoku/>
        <w:wordWrap/>
        <w:overflowPunct/>
        <w:topLinePunct w:val="0"/>
        <w:bidi w:val="0"/>
        <w:spacing w:line="360" w:lineRule="auto"/>
        <w:ind w:firstLine="640" w:firstLineChars="200"/>
        <w:jc w:val="left"/>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截至报告期末，本行战略规划委员会由3名董事构成，包括执行董事黄振邦先生、职工董事唐世旋先生和股权董事王国峰先生，其中黄振邦先生为主任委员。</w:t>
      </w: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419725" cy="3213735"/>
                <wp:effectExtent l="4445" t="4445" r="5080" b="20320"/>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19725" cy="3213735"/>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战略规划委员会的主要职责权限包括：</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负责制订本行长期发展战略和中长期发展纲要，并向董事会提出建议，包括但不限于：拟定本行中长期战略目标，监督、检查年度经营计划、投资方案的执行情况；研究本行经营发展商业模式，拟定本行的发展方向和业务结构；研究拟定本行资本补充规划，拟定资本金补充渠道，包括利润分配方案及年度利润分配政策；根据本行战略规划及行长提议，研究拟定本行内部组织机构设置方案；根据本行战略规划及行长提议，研究拟定本行分支机构发展规划；根据本行战略规划及行长提议，研究拟定本行信息技术的目标及手段；</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制定三农金融服务、绿色信贷、金融创新等发展战略，推动建立相关工作机制；</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根据经营环境的变化，提出战略调整建议；对战略实施过程进行监督和评估，并提出相关建议；</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研究制定对外投资的相关制度，对本行重大投资决策（包括固定资产投资和股权投资等）提出建议和方案，并对本行附属机构实施集团化管理工作；</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研究制定对外兼并收购的相关制度，研究兼并收购的策略，并提出建议实施方案，包括收购对象、收购方式、重组整合等；</w:t>
                            </w:r>
                          </w:p>
                          <w:p>
                            <w:pPr>
                              <w:pStyle w:val="46"/>
                              <w:numPr>
                                <w:ilvl w:val="0"/>
                                <w:numId w:val="4"/>
                              </w:numPr>
                              <w:ind w:firstLineChars="0"/>
                              <w:jc w:val="left"/>
                              <w:rPr>
                                <w:color w:val="auto"/>
                                <w:highlight w:val="none"/>
                              </w:rPr>
                            </w:pPr>
                            <w:r>
                              <w:rPr>
                                <w:rFonts w:hint="eastAsia" w:cs="仿宋_GB2312" w:asciiTheme="minorEastAsia" w:hAnsiTheme="minorEastAsia" w:eastAsiaTheme="minorEastAsia"/>
                                <w:color w:val="auto"/>
                                <w:kern w:val="0"/>
                                <w:sz w:val="18"/>
                                <w:szCs w:val="18"/>
                                <w:highlight w:val="none"/>
                              </w:rPr>
                              <w:t>研究筹划多元化经营发展模式，研究拟定金融（集团）公司的组建模式及管理方式；研究实施其他涉及本行战略发展的重大事宜</w:t>
                            </w:r>
                            <w:r>
                              <w:rPr>
                                <w:rFonts w:hint="eastAsia" w:cs="仿宋_GB2312" w:asciiTheme="minorEastAsia" w:hAnsiTheme="minorEastAsia" w:eastAsiaTheme="minorEastAsia"/>
                                <w:color w:val="auto"/>
                                <w:kern w:val="0"/>
                                <w:sz w:val="18"/>
                                <w:szCs w:val="18"/>
                                <w:highlight w:val="none"/>
                                <w:lang w:eastAsia="zh-CN"/>
                              </w:rPr>
                              <w:t>；</w:t>
                            </w:r>
                          </w:p>
                          <w:p>
                            <w:pPr>
                              <w:pStyle w:val="46"/>
                              <w:numPr>
                                <w:ilvl w:val="0"/>
                                <w:numId w:val="4"/>
                              </w:numPr>
                              <w:ind w:firstLineChars="0"/>
                              <w:jc w:val="left"/>
                              <w:rPr>
                                <w:rFonts w:hint="eastAsia"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lang w:eastAsia="zh-CN"/>
                              </w:rPr>
                              <w:t>法律法规规定或董事会授权的与委员会职责有关的其他事。</w:t>
                            </w: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253.05pt;width:426.75pt;v-text-anchor:middle;" fillcolor="#FFFFFF" filled="t" stroked="t" coordsize="21600,21600" o:gfxdata="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2Jqp0wAAAAUBAAAPAAAAAAAAAAEAIAAAACIAAABkcnMv&#10;ZG93bnJldi54bWxQSwECFAAUAAAACACHTuJAFTaixEECAACMBAAADgAAAAAAAAABACAAAAAiAQAA&#10;ZHJzL2Uyb0RvYy54bWxQSwUGAAAAAAYABgBZAQAA1QU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战略规划委员会的主要职责权限包括：</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负责制订本行长期发展战略和中长期发展纲要，并向董事会提出建议，包括但不限于：拟定本行中长期战略目标，监督、检查年度经营计划、投资方案的执行情况；研究本行经营发展商业模式，拟定本行的发展方向和业务结构；研究拟定本行资本补充规划，拟定资本金补充渠道，包括利润分配方案及年度利润分配政策；根据本行战略规划及行长提议，研究拟定本行内部组织机构设置方案；根据本行战略规划及行长提议，研究拟定本行分支机构发展规划；根据本行战略规划及行长提议，研究拟定本行信息技术的目标及手段；</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制定三农金融服务、绿色信贷、金融创新等发展战略，推动建立相关工作机制；</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根据经营环境的变化，提出战略调整建议；对战略实施过程进行监督和评估，并提出相关建议；</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研究制定对外投资的相关制度，对本行重大投资决策（包括固定资产投资和股权投资等）提出建议和方案，并对本行附属机构实施集团化管理工作；</w:t>
                      </w:r>
                    </w:p>
                    <w:p>
                      <w:pPr>
                        <w:pStyle w:val="46"/>
                        <w:numPr>
                          <w:ilvl w:val="0"/>
                          <w:numId w:val="4"/>
                        </w:numPr>
                        <w:ind w:firstLineChars="0"/>
                        <w:jc w:val="left"/>
                        <w:rPr>
                          <w:rFonts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rPr>
                        <w:t>研究制定对外兼并收购的相关制度，研究兼并收购的策略，并提出建议实施方案，包括收购对象、收购方式、重组整合等；</w:t>
                      </w:r>
                    </w:p>
                    <w:p>
                      <w:pPr>
                        <w:pStyle w:val="46"/>
                        <w:numPr>
                          <w:ilvl w:val="0"/>
                          <w:numId w:val="4"/>
                        </w:numPr>
                        <w:ind w:firstLineChars="0"/>
                        <w:jc w:val="left"/>
                        <w:rPr>
                          <w:color w:val="auto"/>
                          <w:highlight w:val="none"/>
                        </w:rPr>
                      </w:pPr>
                      <w:r>
                        <w:rPr>
                          <w:rFonts w:hint="eastAsia" w:cs="仿宋_GB2312" w:asciiTheme="minorEastAsia" w:hAnsiTheme="minorEastAsia" w:eastAsiaTheme="minorEastAsia"/>
                          <w:color w:val="auto"/>
                          <w:kern w:val="0"/>
                          <w:sz w:val="18"/>
                          <w:szCs w:val="18"/>
                          <w:highlight w:val="none"/>
                        </w:rPr>
                        <w:t>研究筹划多元化经营发展模式，研究拟定金融（集团）公司的组建模式及管理方式；研究实施其他涉及本行战略发展的重大事宜</w:t>
                      </w:r>
                      <w:r>
                        <w:rPr>
                          <w:rFonts w:hint="eastAsia" w:cs="仿宋_GB2312" w:asciiTheme="minorEastAsia" w:hAnsiTheme="minorEastAsia" w:eastAsiaTheme="minorEastAsia"/>
                          <w:color w:val="auto"/>
                          <w:kern w:val="0"/>
                          <w:sz w:val="18"/>
                          <w:szCs w:val="18"/>
                          <w:highlight w:val="none"/>
                          <w:lang w:eastAsia="zh-CN"/>
                        </w:rPr>
                        <w:t>；</w:t>
                      </w:r>
                    </w:p>
                    <w:p>
                      <w:pPr>
                        <w:pStyle w:val="46"/>
                        <w:numPr>
                          <w:ilvl w:val="0"/>
                          <w:numId w:val="4"/>
                        </w:numPr>
                        <w:ind w:firstLineChars="0"/>
                        <w:jc w:val="left"/>
                        <w:rPr>
                          <w:rFonts w:hint="eastAsia" w:cs="仿宋_GB2312" w:asciiTheme="minorEastAsia" w:hAnsiTheme="minorEastAsia" w:eastAsiaTheme="minorEastAsia"/>
                          <w:color w:val="auto"/>
                          <w:kern w:val="0"/>
                          <w:sz w:val="18"/>
                          <w:szCs w:val="18"/>
                          <w:highlight w:val="none"/>
                        </w:rPr>
                      </w:pPr>
                      <w:r>
                        <w:rPr>
                          <w:rFonts w:hint="eastAsia" w:cs="仿宋_GB2312" w:asciiTheme="minorEastAsia" w:hAnsiTheme="minorEastAsia" w:eastAsiaTheme="minorEastAsia"/>
                          <w:color w:val="auto"/>
                          <w:kern w:val="0"/>
                          <w:sz w:val="18"/>
                          <w:szCs w:val="18"/>
                          <w:highlight w:val="none"/>
                          <w:lang w:eastAsia="zh-CN"/>
                        </w:rPr>
                        <w:t>法律法规规定或董事会授权的与委员会职责有关的其他事。</w:t>
                      </w:r>
                    </w:p>
                  </w:txbxContent>
                </v:textbox>
                <w10:wrap type="none"/>
                <w10:anchorlock/>
              </v:shape>
            </w:pict>
          </mc:Fallback>
        </mc:AlternateContent>
      </w:r>
      <w:r>
        <w:rPr>
          <w:rFonts w:hint="eastAsia" w:cs="仿宋_GB2312" w:asciiTheme="minorEastAsia" w:hAnsiTheme="minorEastAsia" w:eastAsiaTheme="minorEastAsia"/>
          <w:kern w:val="0"/>
          <w:sz w:val="30"/>
          <w:szCs w:val="30"/>
          <w:highlight w:val="none"/>
          <w:lang w:val="en-US" w:eastAsia="zh-CN"/>
        </w:rPr>
        <w:t xml:space="preserve">    </w:t>
      </w:r>
      <w:r>
        <w:rPr>
          <w:rFonts w:hint="eastAsia" w:ascii="仿宋_GB2312" w:hAnsi="仿宋_GB2312" w:eastAsia="仿宋_GB2312" w:cs="仿宋_GB2312"/>
          <w:kern w:val="0"/>
          <w:sz w:val="32"/>
          <w:szCs w:val="32"/>
          <w:highlight w:val="none"/>
          <w:lang w:val="en-US" w:eastAsia="zh-CN"/>
        </w:rPr>
        <w:t>报告期内，战略规划委员会共召开会议5次，审议通过了</w:t>
      </w:r>
      <w:r>
        <w:rPr>
          <w:rFonts w:hint="eastAsia" w:ascii="仿宋_GB2312" w:hAnsi="仿宋_GB2312" w:eastAsia="仿宋_GB2312" w:cs="仿宋_GB2312"/>
          <w:sz w:val="32"/>
          <w:szCs w:val="32"/>
          <w:highlight w:val="none"/>
          <w:lang w:val="en-US" w:eastAsia="zh-CN"/>
        </w:rPr>
        <w:t>11项议案，听取了</w:t>
      </w:r>
      <w:r>
        <w:rPr>
          <w:rFonts w:hint="eastAsia" w:ascii="仿宋_GB2312" w:hAnsi="仿宋_GB2312" w:eastAsia="仿宋_GB2312" w:cs="仿宋_GB2312"/>
          <w:kern w:val="0"/>
          <w:sz w:val="32"/>
          <w:szCs w:val="32"/>
          <w:highlight w:val="none"/>
          <w:lang w:val="en-US" w:eastAsia="zh-CN"/>
        </w:rPr>
        <w:t>1项报告。推动了本行业务实现高质量转型及深化内部体制机制改革，为本行可持续发展注入强大动力。</w:t>
      </w:r>
    </w:p>
    <w:p>
      <w:pPr>
        <w:pStyle w:val="7"/>
        <w:keepNext w:val="0"/>
        <w:keepLines w:val="0"/>
        <w:pageBreakBefore w:val="0"/>
        <w:widowControl w:val="0"/>
        <w:numPr>
          <w:ilvl w:val="0"/>
          <w:numId w:val="0"/>
        </w:numPr>
        <w:pBdr>
          <w:top w:val="none" w:color="000000" w:sz="0" w:space="0"/>
          <w:left w:val="none" w:color="000000" w:sz="0" w:space="2"/>
          <w:bottom w:val="none" w:color="000000" w:sz="0" w:space="10"/>
          <w:right w:val="none" w:color="000000" w:sz="0" w:space="0"/>
        </w:pBdr>
        <w:kinsoku/>
        <w:wordWrap/>
        <w:overflowPunct/>
        <w:topLinePunct w:val="0"/>
        <w:bidi w:val="0"/>
        <w:spacing w:line="360" w:lineRule="auto"/>
        <w:ind w:firstLine="640" w:firstLineChars="200"/>
        <w:jc w:val="left"/>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3.薪酬及提名委员会</w:t>
      </w:r>
    </w:p>
    <w:p>
      <w:pPr>
        <w:pStyle w:val="7"/>
        <w:keepNext w:val="0"/>
        <w:keepLines w:val="0"/>
        <w:pageBreakBefore w:val="0"/>
        <w:widowControl w:val="0"/>
        <w:numPr>
          <w:ilvl w:val="0"/>
          <w:numId w:val="0"/>
        </w:numPr>
        <w:pBdr>
          <w:top w:val="none" w:color="000000" w:sz="0" w:space="0"/>
          <w:left w:val="none" w:color="000000" w:sz="0" w:space="2"/>
          <w:bottom w:val="none" w:color="000000" w:sz="0" w:space="10"/>
          <w:right w:val="none" w:color="000000" w:sz="0" w:space="0"/>
        </w:pBdr>
        <w:kinsoku/>
        <w:wordWrap/>
        <w:overflowPunct/>
        <w:topLinePunct w:val="0"/>
        <w:bidi w:val="0"/>
        <w:spacing w:line="360" w:lineRule="auto"/>
        <w:ind w:firstLine="640" w:firstLineChars="200"/>
        <w:jc w:val="left"/>
        <w:textAlignment w:val="auto"/>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截至报告期末，本行薪酬及提名委员会由3名董事构成，包括独立董事廖月好女士、阮傍根先生和职工董事温可炬先生，其中廖月好女士为主任委员。</w:t>
      </w:r>
    </w:p>
    <w:p>
      <w:pPr>
        <w:autoSpaceDE w:val="0"/>
        <w:autoSpaceDN w:val="0"/>
        <w:adjustRightInd w:val="0"/>
        <w:jc w:val="left"/>
        <w:rPr>
          <w:rFonts w:asciiTheme="minorEastAsia" w:hAnsiTheme="minorEastAsia" w:eastAsiaTheme="minorEastAsia"/>
          <w:sz w:val="30"/>
          <w:szCs w:val="30"/>
          <w:highlight w:val="none"/>
        </w:rPr>
      </w:pP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295900" cy="1285875"/>
                <wp:effectExtent l="4445" t="5080" r="14605" b="4445"/>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95900" cy="1285875"/>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薪酬及提名委员会的主要职责权限包括：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拟定董事和高级管理人员的选任程序和标准，对董事和高级管理人员的任职资格和条件进行初步审核，并向董事会提出建议；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审议全行薪酬管理制度和政策，拟定董事、监事和高级管理人员的薪酬方案，向董事会提出薪酬方案的建议，并监督方案的实施；</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法律、法规、监管规定以及董事会授权的其他事项。</w:t>
                            </w: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101.25pt;width:417pt;v-text-anchor:middle;" fillcolor="#FFFFFF" filled="t" stroked="t" coordsize="21600,21600" o:gfxdata="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9KgBfTAAAABQEAAA8AAAAAAAAAAQAgAAAAIgAAAGRy&#10;cy9kb3ducmV2LnhtbFBLAQIUABQAAAAIAIdO4kDKA3pJQwIAAI0EAAAOAAAAAAAAAAEAIAAAACIB&#10;AABkcnMvZTJvRG9jLnhtbFBLBQYAAAAABgAGAFkBAADXBQ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薪酬及提名委员会的主要职责权限包括：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拟定董事和高级管理人员的选任程序和标准，对董事和高级管理人员的任职资格和条件进行初步审核，并向董事会提出建议；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审议全行薪酬管理制度和政策，拟定董事、监事和高级管理人员的薪酬方案，向董事会提出薪酬方案的建议，并监督方案的实施；</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法律、法规、监管规定以及董事会授权的其他事项。</w:t>
                      </w:r>
                    </w:p>
                  </w:txbxContent>
                </v:textbox>
                <w10:wrap type="none"/>
                <w10:anchorlock/>
              </v:shape>
            </w:pict>
          </mc:Fallback>
        </mc:AlternateConten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报告期内，薪酬及提名委员会共召开会议9次，共审议通过了</w:t>
      </w:r>
      <w:r>
        <w:rPr>
          <w:rFonts w:hint="eastAsia" w:ascii="仿宋_GB2312" w:hAnsi="仿宋_GB2312" w:eastAsia="仿宋_GB2312" w:cs="仿宋_GB2312"/>
          <w:sz w:val="32"/>
          <w:szCs w:val="32"/>
          <w:highlight w:val="none"/>
          <w:lang w:val="en-US" w:eastAsia="zh-CN"/>
        </w:rPr>
        <w:t>18项议案</w:t>
      </w:r>
      <w:r>
        <w:rPr>
          <w:rFonts w:hint="eastAsia" w:ascii="仿宋_GB2312" w:hAnsi="仿宋_GB2312" w:eastAsia="仿宋_GB2312" w:cs="仿宋_GB2312"/>
          <w:kern w:val="0"/>
          <w:sz w:val="32"/>
          <w:szCs w:val="32"/>
          <w:highlight w:val="none"/>
          <w:lang w:val="en-US" w:eastAsia="zh-CN"/>
        </w:rPr>
        <w:t>，分别对工资总额预算分配、高管薪酬预算、职工福利、绩效考核等事项进行了研究和建议。在会议中，委员能独立、客观的发表意见，并按照议事规则正当程序行使表决权，并向董事会和管理层提出工作意见和建议。</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4.消费者权益保护委员会</w:t>
      </w:r>
    </w:p>
    <w:p>
      <w:pPr>
        <w:autoSpaceDE w:val="0"/>
        <w:autoSpaceDN w:val="0"/>
        <w:adjustRightInd w:val="0"/>
        <w:spacing w:line="360" w:lineRule="auto"/>
        <w:ind w:firstLine="640" w:firstLineChars="200"/>
        <w:jc w:val="left"/>
        <w:rPr>
          <w:rFonts w:cs="仿宋_GB2312" w:asciiTheme="minorEastAsia" w:hAnsiTheme="minorEastAsia" w:eastAsiaTheme="minorEastAsia"/>
          <w:kern w:val="0"/>
          <w:sz w:val="30"/>
          <w:szCs w:val="30"/>
          <w:highlight w:val="none"/>
        </w:rPr>
      </w:pPr>
      <w:r>
        <w:rPr>
          <w:rFonts w:hint="eastAsia" w:ascii="仿宋_GB2312" w:hAnsi="仿宋_GB2312" w:eastAsia="仿宋_GB2312" w:cs="仿宋_GB2312"/>
          <w:kern w:val="0"/>
          <w:sz w:val="32"/>
          <w:szCs w:val="32"/>
          <w:highlight w:val="none"/>
          <w:lang w:val="en-US" w:eastAsia="zh-CN"/>
        </w:rPr>
        <w:t>截至报告期末，本行消费者权益保护委员会由3名董事构成，包括执行董事黄振邦先生、职工董事温可炬先生和股权董事许飞先生，其中黄振邦先生为主任委员。</w:t>
      </w: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336540" cy="2316480"/>
                <wp:effectExtent l="4445" t="4445" r="12065" b="22225"/>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6540" cy="2316480"/>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消费者权益保护委员会的主要职责权限包括：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会同战略规划委员会共同制定金融消费者权益保护工作的战略、政策和目标，并体现在发展战略之中；</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负责制定、审查和监督落实消费者权益保护工作的措施、程序以及具体的操作规程，及时了解相关工作状况，并确保提供必要的资源支持，推动消费者权益保护工作积极、有序开展；</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评价消费者权益保护工作的全面性、及时性、有效性以及高管层相关履职情况，包括指导、督促高管层有效执行和落实相关工作，听取高管层关于消费者权益保护工作开展情况的专题报告，并将相关工作作为信息披露的重要内容；</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制定年度工作计划，定期召开会议研究消费者权益保护工作，向董事会提供专业意见或根据董事会授权就专业事项进行决策,并向董事会提交有关报告；</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法律法规规定或董事会授权的与委员会职责有关的其他事宜。</w:t>
                            </w: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182.4pt;width:420.2pt;v-text-anchor:middle;" fillcolor="#FFFFFF" filled="t" stroked="t" coordsize="21600,21600" o:gfxdata="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4ZBqHTAAAABQEAAA8AAAAAAAAAAQAgAAAAIgAAAGRy&#10;cy9kb3ducmV2LnhtbFBLAQIUABQAAAAIAIdO4kAKyuoGQwIAAI0EAAAOAAAAAAAAAAEAIAAAACIB&#10;AABkcnMvZTJvRG9jLnhtbFBLBQYAAAAABgAGAFkBAADXBQ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消费者权益保护委员会的主要职责权限包括：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会同战略规划委员会共同制定金融消费者权益保护工作的战略、政策和目标，并体现在发展战略之中；</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负责制定、审查和监督落实消费者权益保护工作的措施、程序以及具体的操作规程，及时了解相关工作状况，并确保提供必要的资源支持，推动消费者权益保护工作积极、有序开展；</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评价消费者权益保护工作的全面性、及时性、有效性以及高管层相关履职情况，包括指导、督促高管层有效执行和落实相关工作，听取高管层关于消费者权益保护工作开展情况的专题报告，并将相关工作作为信息披露的重要内容；</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制定年度工作计划，定期召开会议研究消费者权益保护工作，向董事会提供专业意见或根据董事会授权就专业事项进行决策,并向董事会提交有关报告；</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法律法规规定或董事会授权的与委员会职责有关的其他事宜。</w:t>
                      </w:r>
                    </w:p>
                  </w:txbxContent>
                </v:textbox>
                <w10:wrap type="none"/>
                <w10:anchorlock/>
              </v:shape>
            </w:pict>
          </mc:Fallback>
        </mc:AlternateContent>
      </w:r>
    </w:p>
    <w:p>
      <w:pPr>
        <w:autoSpaceDE w:val="0"/>
        <w:autoSpaceDN w:val="0"/>
        <w:adjustRightInd w:val="0"/>
        <w:spacing w:line="360" w:lineRule="auto"/>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报告期内，消费者权益保护委员会共召开会议6次，</w:t>
      </w:r>
      <w:r>
        <w:rPr>
          <w:rFonts w:hint="eastAsia" w:ascii="仿宋_GB2312" w:hAnsi="仿宋_GB2312" w:eastAsia="仿宋_GB2312" w:cs="仿宋_GB2312"/>
          <w:sz w:val="32"/>
          <w:szCs w:val="32"/>
          <w:highlight w:val="none"/>
          <w:lang w:val="en-US" w:eastAsia="zh-CN"/>
        </w:rPr>
        <w:t>审议通过了9项议案，听取了9项报告，加强了消费者权益保护工作的落实与监督，维护了消费者合法权益。</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5.三农委员会</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截至报告期末，本行三农委员会由3名董事构成，包括执行董事黄振邦先生、职工董事唐世旋先生和股权董事刘剑忠先生，其中黄振邦先生为主任委员。</w:t>
      </w:r>
    </w:p>
    <w:p>
      <w:pPr>
        <w:autoSpaceDE w:val="0"/>
        <w:autoSpaceDN w:val="0"/>
        <w:adjustRightInd w:val="0"/>
        <w:jc w:val="left"/>
        <w:rPr>
          <w:rFonts w:cs="仿宋_GB2312" w:asciiTheme="minorEastAsia" w:hAnsiTheme="minorEastAsia" w:eastAsiaTheme="minorEastAsia"/>
          <w:kern w:val="0"/>
          <w:sz w:val="30"/>
          <w:szCs w:val="30"/>
          <w:highlight w:val="none"/>
        </w:rPr>
      </w:pP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257800" cy="3228975"/>
                <wp:effectExtent l="4445" t="4445" r="14605" b="5080"/>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7800" cy="3228975"/>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三农委员会的主要职责权限包括：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传导贯彻国家和监管部门支持三农的金融服务政策，对本行支持三农的市场定位、发展战略、经营理念、整体经营目标、业务发展计划等进行前瞻性研究并提出建议；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制定本行三农业务发展规划，审议年度三农金融发展目标，评价与督促经营层认真贯彻落实发展规划；对本行三农业务的政策和基本管理制度研究并提出建议；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对本行涉农信贷业务发展政策、三农产品开发计划、创新服务产品、风险控制等进行研究并提出建议；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对须经董事会批准的重大事项进行研究并提出建议，对其他影响本行三农发展的重大事项进行研究并提出建议；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监督本行三农发展战略规划、政策、管理制度的落实情况，考核评估本行支农工作成效；监督董事长、监事长和行长在任职期间作出坚持三农市场定位、建立三农金融服务机制、加强三农金融服务的书面承诺；</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委员会应每年至少召开一次会议，就三农金融业务开展情况、存在问题和下一步措施等提出意见和建议；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 xml:space="preserve">委员会应在每年第一次董事会上报告上一年度本行三农金融业务计划执行情况； </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董事会授权的其他事宜。</w:t>
                            </w: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254.25pt;width:414pt;v-text-anchor:middle;" fillcolor="#FFFFFF" filled="t" stroked="t" coordsize="21600,21600" o:gfxdata="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pCe4NIAAAAFAQAADwAAAAAAAAABACAAAAAiAAAAZHJz&#10;L2Rvd25yZXYueG1sUEsBAhQAFAAAAAgAh07iQNCOvf1DAgAAjQQAAA4AAAAAAAAAAQAgAAAAIQEA&#10;AGRycy9lMm9Eb2MueG1sUEsFBgAAAAAGAAYAWQEAANYFA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三农委员会的主要职责权限包括：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传导贯彻国家和监管部门支持三农的金融服务政策，对本行支持三农的市场定位、发展战略、经营理念、整体经营目标、业务发展计划等进行前瞻性研究并提出建议；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制定本行三农业务发展规划，审议年度三农金融发展目标，评价与督促经营层认真贯彻落实发展规划；对本行三农业务的政策和基本管理制度研究并提出建议；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对本行涉农信贷业务发展政策、三农产品开发计划、创新服务产品、风险控制等进行研究并提出建议；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对须经董事会批准的重大事项进行研究并提出建议，对其他影响本行三农发展的重大事项进行研究并提出建议；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监督本行三农发展战略规划、政策、管理制度的落实情况，考核评估本行支农工作成效；监督董事长、监事长和行长在任职期间作出坚持三农市场定位、建立三农金融服务机制、加强三农金融服务的书面承诺；</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委员会应每年至少召开一次会议，就三农金融业务开展情况、存在问题和下一步措施等提出意见和建议；</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 xml:space="preserve">委员会应在每年第一次董事会上报告上一年度本行三农金融业务计划执行情况； </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董事会授权的其他事宜。</w:t>
                      </w:r>
                    </w:p>
                  </w:txbxContent>
                </v:textbox>
                <w10:wrap type="none"/>
                <w10:anchorlock/>
              </v:shape>
            </w:pict>
          </mc:Fallback>
        </mc:AlternateConten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报告期内，三农委员会共召开会议2次，</w:t>
      </w:r>
      <w:r>
        <w:rPr>
          <w:rFonts w:hint="eastAsia" w:ascii="仿宋_GB2312" w:hAnsi="仿宋_GB2312" w:eastAsia="仿宋_GB2312" w:cs="仿宋_GB2312"/>
          <w:sz w:val="32"/>
          <w:szCs w:val="32"/>
          <w:highlight w:val="none"/>
          <w:lang w:val="en-US" w:eastAsia="zh-CN"/>
        </w:rPr>
        <w:t>审议通过了2项议案。本委员会紧紧围绕“强化三农金融服务、助力乡村振兴”的战略目标，勤勉尽责地开展工作，积极推动本行普惠金融战略的落地。</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6.审计委员会</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截至报告期末，本行审计委员会由3名董事构成，包括独立董事李满枝先生、阮傍根先生和职工董事唐世旋先生，其中李满枝先生为主任委员。</w:t>
      </w:r>
    </w:p>
    <w:p>
      <w:pPr>
        <w:autoSpaceDE w:val="0"/>
        <w:autoSpaceDN w:val="0"/>
        <w:adjustRightInd w:val="0"/>
        <w:jc w:val="left"/>
        <w:rPr>
          <w:rFonts w:cs="仿宋_GB2312" w:asciiTheme="minorEastAsia" w:hAnsiTheme="minorEastAsia" w:eastAsiaTheme="minorEastAsia"/>
          <w:kern w:val="0"/>
          <w:sz w:val="30"/>
          <w:szCs w:val="30"/>
          <w:highlight w:val="none"/>
        </w:rPr>
      </w:pPr>
      <w:r>
        <w:rPr>
          <w:rFonts w:cs="仿宋_GB2312" w:asciiTheme="minorEastAsia" w:hAnsiTheme="minorEastAsia" w:eastAsiaTheme="minorEastAsia"/>
          <w:kern w:val="0"/>
          <w:sz w:val="30"/>
          <w:szCs w:val="30"/>
          <w:highlight w:val="none"/>
        </w:rPr>
        <mc:AlternateContent>
          <mc:Choice Requires="wps">
            <w:drawing>
              <wp:inline distT="0" distB="0" distL="114300" distR="114300">
                <wp:extent cx="5257800" cy="885825"/>
                <wp:effectExtent l="5080" t="4445" r="13970" b="5080"/>
                <wp:docPr id="1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257800" cy="885825"/>
                        </a:xfrm>
                        <a:prstGeom prst="rect">
                          <a:avLst/>
                        </a:prstGeom>
                        <a:solidFill>
                          <a:srgbClr val="FFFFFF"/>
                        </a:solidFill>
                        <a:ln w="9525">
                          <a:solidFill>
                            <a:srgbClr val="000000"/>
                          </a:solidFill>
                          <a:miter lim="800000"/>
                        </a:ln>
                        <a:effectLst/>
                      </wps:spPr>
                      <wps:txb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审计委员会的主要职责权限包括：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负责检查本行的会计政策、财务状况和财务报告程序，检查本行的风险及合规状况。</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负责本行年度审计工作，提出外部审计机构聘请与更换建议，并就审计后的财务报告信息的真实性、完整性和准确性作出判断性报告，提交董事会审议。</w:t>
                            </w:r>
                          </w:p>
                        </w:txbxContent>
                      </wps:txbx>
                      <wps:bodyPr rot="0" vert="horz" wrap="square" lIns="91440" tIns="45720" rIns="91440" bIns="45720" anchor="ctr" anchorCtr="0">
                        <a:noAutofit/>
                      </wps:bodyPr>
                    </wps:wsp>
                  </a:graphicData>
                </a:graphic>
              </wp:inline>
            </w:drawing>
          </mc:Choice>
          <mc:Fallback>
            <w:pict>
              <v:shape id="文本框 3" o:spid="_x0000_s1026" o:spt="202" type="#_x0000_t202" style="height:69.75pt;width:414pt;v-text-anchor:middle;" fillcolor="#FFFFFF" filled="t" stroked="t" coordsize="21600,21600" o:gfxdata="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6RqLSAAAABQEAAA8AAAAAAAAAAQAgAAAAIgAAAGRycy9k&#10;b3ducmV2LnhtbFBLAQIUABQAAAAIAIdO4kDWhEXGQQIAAIwEAAAOAAAAAAAAAAEAIAAAACEBAABk&#10;cnMvZTJvRG9jLnhtbFBLBQYAAAAABgAGAFkBAADUBQAAAAA=&#10;">
                <v:fill on="t" focussize="0,0"/>
                <v:stroke color="#000000" miterlimit="8" joinstyle="miter"/>
                <v:imagedata o:title=""/>
                <o:lock v:ext="edit" aspectratio="f"/>
                <v:textbox>
                  <w:txbxContent>
                    <w:p>
                      <w:pPr>
                        <w:autoSpaceDE w:val="0"/>
                        <w:autoSpaceDN w:val="0"/>
                        <w:adjustRightInd w:val="0"/>
                        <w:snapToGrid w:val="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审计委员会的主要职责权限包括：</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负责检查本行的会计政策、财务状况和财务报告程序，检查本行的风险及合规状况。</w:t>
                      </w:r>
                    </w:p>
                    <w:p>
                      <w:pPr>
                        <w:pStyle w:val="46"/>
                        <w:numPr>
                          <w:ilvl w:val="0"/>
                          <w:numId w:val="4"/>
                        </w:numPr>
                        <w:ind w:firstLineChars="0"/>
                        <w:jc w:val="left"/>
                        <w:rPr>
                          <w:rFonts w:cs="仿宋_GB2312" w:asciiTheme="minorEastAsia" w:hAnsiTheme="minorEastAsia" w:eastAsiaTheme="minorEastAsia"/>
                          <w:kern w:val="0"/>
                          <w:sz w:val="18"/>
                          <w:szCs w:val="18"/>
                          <w:highlight w:val="none"/>
                        </w:rPr>
                      </w:pPr>
                      <w:r>
                        <w:rPr>
                          <w:rFonts w:hint="eastAsia" w:cs="仿宋_GB2312" w:asciiTheme="minorEastAsia" w:hAnsiTheme="minorEastAsia" w:eastAsiaTheme="minorEastAsia"/>
                          <w:kern w:val="0"/>
                          <w:sz w:val="18"/>
                          <w:szCs w:val="18"/>
                          <w:highlight w:val="none"/>
                        </w:rPr>
                        <w:t>负责本行年度审计工作，提出外部审计机构聘请与更换建议，并就审计后的财务报告信息的真实性、完整性和准确性作出判断性报告，提交董事会审议。</w:t>
                      </w:r>
                    </w:p>
                  </w:txbxContent>
                </v:textbox>
                <w10:wrap type="none"/>
                <w10:anchorlock/>
              </v:shape>
            </w:pict>
          </mc:Fallback>
        </mc:AlternateConten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报告期内，审计委员会共召开会议8次，</w:t>
      </w:r>
      <w:r>
        <w:rPr>
          <w:rFonts w:hint="eastAsia" w:ascii="仿宋_GB2312" w:hAnsi="仿宋_GB2312" w:eastAsia="仿宋_GB2312" w:cs="仿宋_GB2312"/>
          <w:sz w:val="32"/>
          <w:szCs w:val="32"/>
          <w:highlight w:val="none"/>
          <w:lang w:val="en-US" w:eastAsia="zh-CN"/>
        </w:rPr>
        <w:t>审议通过了11项议案，听取了18项报告。本委员会持续强化审计监督效能，及时掌握本行各业务条线执行情况，查找到业务办理过程中存在的问题和漏洞，切实防范风险,为本行各项业务健康发展保驾护航。</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（四）独立董事</w:t>
      </w:r>
      <w:r>
        <w:rPr>
          <w:rFonts w:hint="eastAsia" w:ascii="方正楷体_GBK" w:hAnsi="方正楷体_GBK" w:eastAsia="方正楷体_GBK" w:cs="方正楷体_GBK"/>
          <w:sz w:val="32"/>
          <w:szCs w:val="32"/>
          <w:highlight w:val="none"/>
          <w:lang w:val="en-US" w:eastAsia="zh-CN"/>
        </w:rPr>
        <w:t>履</w:t>
      </w:r>
      <w:r>
        <w:rPr>
          <w:rFonts w:hint="eastAsia" w:ascii="方正楷体_GBK" w:hAnsi="方正楷体_GBK" w:eastAsia="方正楷体_GBK" w:cs="方正楷体_GBK"/>
          <w:sz w:val="32"/>
          <w:szCs w:val="32"/>
          <w:highlight w:val="none"/>
        </w:rPr>
        <w:t>职情况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1.独立董事的基本情况</w:t>
      </w:r>
    </w:p>
    <w:p>
      <w:pPr>
        <w:autoSpaceDE w:val="0"/>
        <w:autoSpaceDN w:val="0"/>
        <w:adjustRightInd w:val="0"/>
        <w:spacing w:line="360" w:lineRule="auto"/>
        <w:ind w:firstLine="640" w:firstLineChars="200"/>
        <w:jc w:val="left"/>
        <w:rPr>
          <w:rFonts w:hint="default"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2025年度，本行第二届董事会独立董事3名，分别为李满枝先生、阮傍根先生、廖月好女士。</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2.参加会议情况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请参阅上文“董事出席会议情况”。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3.参加培训情况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报告期内，独立董事参加培训2次，分别为2025年5月28日省联社举办的2025年广东农信公司治理培训、2025年12月12日本行组织的公司治理、反洗钱培训。</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4.发表独立意见情况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根据监管要求和本行《公司章程》等有关规定，报告期内独立董事对本行利润分配、高管聘免等若干重大事项发表了共6次独立意见。</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5.履职重点关注事项情况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关联交易情况。根据《商业银行股权管理暂行办法》及本行《关联交易管理办法》等规定，独立董事对一般关联交易的备案材料进行了认真审核，确保本行关联交易管理程序合法合规。本行与关联方发生的关联交易均基于正常的经营活动，属于正常商业交易行为，关联交易定价依据公允、合理，遵循市场公平交易的原则，不存在损害公司和股东合法权益的情形。决策程序符合相关法律法规及《公司章程》的规定，与关联交易有关联关系的董事均回避表决。</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（2）聘任会计师事务所情况</w:t>
      </w:r>
    </w:p>
    <w:p>
      <w:pPr>
        <w:autoSpaceDE w:val="0"/>
        <w:autoSpaceDN w:val="0"/>
        <w:adjustRightInd w:val="0"/>
        <w:spacing w:line="360" w:lineRule="auto"/>
        <w:ind w:firstLine="640" w:firstLineChars="200"/>
        <w:jc w:val="left"/>
        <w:rPr>
          <w:rFonts w:hint="default"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2025年10月16日本行召开2025年第一次临时股东大会，表决通过了《关于聘请安礼华粤（广东）会计师事务所的议案》，聘请安礼华粤（广东）会计师事务所对本行进行2025年度审计工作，独立董事认为该会计师事务所在审计过程中保持独立、客观、公正的执业准则，能较好地完成各项工作。</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（3）公司及股东承诺履行情况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独立董事高度关注公司及股东承诺履行情况，报告期内，公司及股东均切实履行了相关承诺。</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（4）信息披露的执行情况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报告期内，独立董事积极关注信息披露工作，督促本行严格按照相关法律及规定履行信息披露义务，在年报编制过程中发挥了应尽的监督审核职责，确保信息披露真实、准确、及时、完整。</w:t>
      </w:r>
    </w:p>
    <w:p>
      <w:pPr>
        <w:autoSpaceDE w:val="0"/>
        <w:autoSpaceDN w:val="0"/>
        <w:adjustRightInd w:val="0"/>
        <w:ind w:firstLine="640" w:firstLineChars="200"/>
        <w:jc w:val="left"/>
        <w:rPr>
          <w:rFonts w:hint="eastAsia" w:ascii="华文楷体" w:hAnsi="华文楷体" w:eastAsia="华文楷体" w:cs="楷体_GB2312"/>
          <w:color w:val="FF0000"/>
          <w:kern w:val="0"/>
          <w:sz w:val="32"/>
          <w:szCs w:val="32"/>
          <w:highlight w:val="none"/>
          <w:lang w:eastAsia="zh-CN"/>
        </w:rPr>
      </w:pPr>
      <w:r>
        <w:rPr>
          <w:rFonts w:hint="eastAsia" w:ascii="方正楷体_GBK" w:hAnsi="方正楷体_GBK" w:eastAsia="方正楷体_GBK" w:cs="方正楷体_GBK"/>
          <w:sz w:val="32"/>
          <w:szCs w:val="32"/>
          <w:highlight w:val="none"/>
        </w:rPr>
        <w:t>（</w:t>
      </w:r>
      <w:r>
        <w:rPr>
          <w:rFonts w:hint="eastAsia" w:ascii="方正楷体_GBK" w:hAnsi="方正楷体_GBK" w:eastAsia="方正楷体_GBK" w:cs="方正楷体_GBK"/>
          <w:sz w:val="32"/>
          <w:szCs w:val="32"/>
          <w:highlight w:val="none"/>
          <w:lang w:val="en-US" w:eastAsia="zh-CN"/>
        </w:rPr>
        <w:t>五</w:t>
      </w:r>
      <w:r>
        <w:rPr>
          <w:rFonts w:hint="eastAsia" w:ascii="方正楷体_GBK" w:hAnsi="方正楷体_GBK" w:eastAsia="方正楷体_GBK" w:cs="方正楷体_GBK"/>
          <w:sz w:val="32"/>
          <w:szCs w:val="32"/>
          <w:highlight w:val="none"/>
        </w:rPr>
        <w:t>）高级管理层成员构成及工作情况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本行高级管理层人员由1名行长，2名副行长，1名董事会秘书，1名合规部门负责人，1名财务部门负责人，1名内审部门负责人组成。行长由董事会聘任，在董事长授权下进行对本行日常经营管理。本行实行一级法人管理体制，分支机构不具有法人资格，在总行的授权范围内依法开展业务，其民事责任由总行承担。</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本行高级管理层下设投资决策委员会、基建委员会、不良资产管理委员会、采购与招标委员会、财务管理委员会、资产负债管理委员会、经营与风险管理委员会、授信审批委员会、薪酬与绩效管理委员会、业务连续性管理委员会、信息科技管理委员会。各委员会按照相关职能独立运作。</w:t>
      </w:r>
    </w:p>
    <w:p>
      <w:pPr>
        <w:autoSpaceDE w:val="0"/>
        <w:autoSpaceDN w:val="0"/>
        <w:adjustRightInd w:val="0"/>
        <w:ind w:firstLine="480" w:firstLineChars="150"/>
        <w:jc w:val="left"/>
        <w:rPr>
          <w:rFonts w:hint="eastAsia" w:ascii="华文楷体" w:hAnsi="华文楷体" w:eastAsia="华文楷体" w:cs="楷体_GB2312"/>
          <w:kern w:val="0"/>
          <w:sz w:val="32"/>
          <w:szCs w:val="32"/>
          <w:highlight w:val="none"/>
        </w:rPr>
      </w:pP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lang w:val="en-US" w:eastAsia="zh-CN"/>
        </w:rPr>
        <w:t>六</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职能部门与分支机构设置情况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职能部门设置。截至2025年12月末，根据银行流程化组织机构和经营管理的要求，总行设董事会办公室、办公室（党委办公室、工会办公室）、纪委办公室、授信管理部、普惠金融部、资产保全部、财务资金部、运营管理部、人力资源部、安全保卫部、合规与风险管理部、内审部和行政管理部共13个职能部门，并明确了各职能部门职责，管理组织模式科学，流程合理，职能划分清晰明确。</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2.分支机构设置。截至2025年12月末，本行设立总行营业部1家、一级支行10家、二级支行12家、分理处1家。</w:t>
      </w:r>
    </w:p>
    <w:p>
      <w:pPr>
        <w:autoSpaceDE w:val="0"/>
        <w:autoSpaceDN w:val="0"/>
        <w:adjustRightInd w:val="0"/>
        <w:ind w:firstLine="640" w:firstLineChars="200"/>
        <w:jc w:val="left"/>
        <w:rPr>
          <w:rFonts w:hint="eastAsia" w:ascii="仿宋_GB2312" w:hAnsi="仿宋_GB2312" w:eastAsia="仿宋_GB2312" w:cs="仿宋_GB2312"/>
          <w:b/>
          <w:bCs/>
          <w:color w:val="FF0000"/>
          <w:kern w:val="0"/>
          <w:sz w:val="32"/>
          <w:szCs w:val="32"/>
          <w:highlight w:val="none"/>
          <w:lang w:eastAsia="zh-CN"/>
        </w:rPr>
      </w:pPr>
      <w:r>
        <w:rPr>
          <w:rFonts w:hint="eastAsia" w:ascii="方正楷体_GBK" w:hAnsi="方正楷体_GBK" w:eastAsia="方正楷体_GBK" w:cs="方正楷体_GBK"/>
          <w:sz w:val="32"/>
          <w:szCs w:val="32"/>
          <w:highlight w:val="none"/>
        </w:rPr>
        <w:t>（</w:t>
      </w:r>
      <w:r>
        <w:rPr>
          <w:rFonts w:hint="eastAsia" w:ascii="方正楷体_GBK" w:hAnsi="方正楷体_GBK" w:eastAsia="方正楷体_GBK" w:cs="方正楷体_GBK"/>
          <w:sz w:val="32"/>
          <w:szCs w:val="32"/>
          <w:highlight w:val="none"/>
          <w:lang w:val="en-US" w:eastAsia="zh-CN"/>
        </w:rPr>
        <w:t>七</w:t>
      </w:r>
      <w:r>
        <w:rPr>
          <w:rFonts w:hint="eastAsia" w:ascii="方正楷体_GBK" w:hAnsi="方正楷体_GBK" w:eastAsia="方正楷体_GBK" w:cs="方正楷体_GBK"/>
          <w:sz w:val="32"/>
          <w:szCs w:val="32"/>
          <w:highlight w:val="none"/>
        </w:rPr>
        <w:t>）关于信息披露和透明度</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本行制定了信息披露制度，由董事会秘书负责信息披露事务。董事会办公室负责股东来访、咨询等工作。本行严格按照有关法律、法规、规章及规范性文件，及时、准确、真实、完整披露本行各项重大信息，努力提高信息丰富性、易获取性和透明度，确保所有的股东有平等的机会获得信息，切实维护所有股东尤其是中小股东的利益。</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lang w:val="en-US" w:eastAsia="zh-CN"/>
        </w:rPr>
        <w:t>三</w:t>
      </w:r>
      <w:r>
        <w:rPr>
          <w:rFonts w:hint="eastAsia" w:ascii="黑体" w:hAnsi="Times New Roman" w:eastAsia="黑体" w:cs="Times New Roman"/>
          <w:sz w:val="32"/>
          <w:szCs w:val="32"/>
          <w:highlight w:val="none"/>
        </w:rPr>
        <w:t>、对本行公司治理的整体评价</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自2018年成功改制以来，本行不断提高公司治理水平，建立了以股东会、董事会、监事会和高级管理层为核心的“三会一层”公司治理架构，着力构建“党委领导、董事会战略决策、高级管理层执行落实、监事会依法监督”的公司治理组织运行机制。内部控制管理体系和运行机制持续改善，“三会一层”独立运作、有效制衡、相互合作、协调运转，公司治理和内控管理水平得到进一步的提升。</w:t>
      </w:r>
    </w:p>
    <w:p>
      <w:pPr>
        <w:autoSpaceDE w:val="0"/>
        <w:autoSpaceDN w:val="0"/>
        <w:adjustRightInd w:val="0"/>
        <w:ind w:firstLine="640" w:firstLineChars="200"/>
        <w:jc w:val="left"/>
        <w:rPr>
          <w:rFonts w:hint="eastAsia" w:ascii="黑体" w:eastAsia="黑体" w:cs="黑体"/>
          <w:kern w:val="0"/>
          <w:sz w:val="32"/>
          <w:szCs w:val="32"/>
          <w:highlight w:val="none"/>
          <w:lang w:eastAsia="zh-CN"/>
        </w:rPr>
        <w:sectPr>
          <w:headerReference r:id="rId5" w:type="first"/>
          <w:headerReference r:id="rId3" w:type="default"/>
          <w:footerReference r:id="rId6" w:type="default"/>
          <w:headerReference r:id="rId4" w:type="even"/>
          <w:footerReference r:id="rId7" w:type="even"/>
          <w:pgSz w:w="11906" w:h="16838"/>
          <w:pgMar w:top="1440" w:right="1746" w:bottom="1440" w:left="1746" w:header="851" w:footer="992" w:gutter="0"/>
          <w:pgNumType w:fmt="numberInDash" w:start="0"/>
          <w:cols w:space="720" w:num="1"/>
          <w:titlePg/>
          <w:docGrid w:type="lines" w:linePitch="312" w:charSpace="0"/>
        </w:sectPr>
      </w:pPr>
      <w:r>
        <w:rPr>
          <w:rFonts w:hint="eastAsia" w:ascii="黑体" w:hAnsi="Times New Roman" w:eastAsia="黑体" w:cs="Times New Roman"/>
          <w:sz w:val="32"/>
          <w:szCs w:val="32"/>
          <w:highlight w:val="none"/>
          <w:lang w:val="en-US" w:eastAsia="zh-CN"/>
        </w:rPr>
        <w:t>四</w:t>
      </w:r>
      <w:r>
        <w:rPr>
          <w:rFonts w:hint="eastAsia" w:ascii="黑体" w:hAnsi="Times New Roman" w:eastAsia="黑体" w:cs="Times New Roman"/>
          <w:sz w:val="32"/>
          <w:szCs w:val="32"/>
          <w:highlight w:val="none"/>
        </w:rPr>
        <w:t>、组织架构图（见下页）</w:t>
      </w:r>
      <w:r>
        <w:rPr>
          <w:rFonts w:hint="eastAsia" w:ascii="仿宋_GB2312" w:hAnsi="仿宋_GB2312" w:eastAsia="仿宋_GB2312" w:cs="仿宋_GB2312"/>
          <w:kern w:val="0"/>
          <w:sz w:val="32"/>
          <w:szCs w:val="32"/>
          <w:highlight w:val="none"/>
          <w:lang w:val="en-US" w:eastAsia="zh-CN"/>
        </w:rPr>
        <w:t>（于2025年12月31日撤销广宁农商银行监事会）</w:t>
      </w:r>
    </w:p>
    <w:p>
      <w:pPr>
        <w:autoSpaceDE w:val="0"/>
        <w:autoSpaceDN w:val="0"/>
        <w:adjustRightInd w:val="0"/>
        <w:jc w:val="center"/>
        <w:rPr>
          <w:rFonts w:ascii="仿宋_GB2312" w:eastAsia="仿宋_GB2312" w:cs="仿宋_GB2312"/>
          <w:kern w:val="0"/>
          <w:sz w:val="30"/>
          <w:szCs w:val="30"/>
          <w:highlight w:val="none"/>
        </w:rPr>
        <w:sectPr>
          <w:headerReference r:id="rId9" w:type="first"/>
          <w:headerReference r:id="rId8" w:type="default"/>
          <w:footerReference r:id="rId10" w:type="default"/>
          <w:pgSz w:w="16838" w:h="11906" w:orient="landscape"/>
          <w:pgMar w:top="567" w:right="567" w:bottom="567" w:left="567" w:header="851" w:footer="992" w:gutter="0"/>
          <w:pgNumType w:fmt="numberInDash"/>
          <w:cols w:space="720" w:num="1"/>
          <w:titlePg/>
          <w:docGrid w:type="linesAndChars" w:linePitch="312" w:charSpace="0"/>
        </w:sectPr>
      </w:pPr>
      <w:r>
        <w:rPr>
          <w:highlight w:val="none"/>
        </w:rPr>
        <w:drawing>
          <wp:inline distT="0" distB="0" distL="114300" distR="114300">
            <wp:extent cx="9965055" cy="5962650"/>
            <wp:effectExtent l="0" t="0" r="17145" b="0"/>
            <wp:docPr id="3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
                    <pic:cNvPicPr>
                      <a:picLocks noChangeAspect="1"/>
                    </pic:cNvPicPr>
                  </pic:nvPicPr>
                  <pic:blipFill>
                    <a:blip r:embed="rId19"/>
                    <a:stretch>
                      <a:fillRect/>
                    </a:stretch>
                  </pic:blipFill>
                  <pic:spPr>
                    <a:xfrm>
                      <a:off x="0" y="0"/>
                      <a:ext cx="9965055" cy="5962650"/>
                    </a:xfrm>
                    <a:prstGeom prst="rect">
                      <a:avLst/>
                    </a:prstGeom>
                    <a:noFill/>
                    <a:ln>
                      <a:noFill/>
                    </a:ln>
                  </pic:spPr>
                </pic:pic>
              </a:graphicData>
            </a:graphic>
          </wp:inline>
        </w:drawing>
      </w:r>
    </w:p>
    <w:p>
      <w:pPr>
        <w:pStyle w:val="18"/>
        <w:spacing w:line="360" w:lineRule="auto"/>
        <w:jc w:val="center"/>
        <w:rPr>
          <w:rFonts w:hint="eastAsia"/>
          <w:highlight w:val="none"/>
        </w:rPr>
      </w:pPr>
      <w:bookmarkStart w:id="25" w:name="_Toc26716"/>
      <w:bookmarkStart w:id="26" w:name="_Toc23591"/>
      <w:bookmarkStart w:id="27" w:name="_Toc23411"/>
      <w:bookmarkStart w:id="28" w:name="_Toc14130"/>
      <w:r>
        <w:rPr>
          <w:rFonts w:hint="eastAsia" w:ascii="方正小标宋_GBK" w:hAnsi="方正小标宋_GBK" w:eastAsia="方正小标宋_GBK" w:cs="方正小标宋_GBK"/>
          <w:b w:val="0"/>
          <w:bCs w:val="0"/>
          <w:sz w:val="36"/>
          <w:szCs w:val="36"/>
          <w:highlight w:val="none"/>
        </w:rPr>
        <w:t xml:space="preserve">第六节 </w:t>
      </w:r>
      <w:r>
        <w:rPr>
          <w:rFonts w:hint="eastAsia" w:ascii="方正小标宋_GBK" w:hAnsi="方正小标宋_GBK" w:eastAsia="方正小标宋_GBK" w:cs="方正小标宋_GBK"/>
          <w:b w:val="0"/>
          <w:bCs w:val="0"/>
          <w:sz w:val="36"/>
          <w:szCs w:val="36"/>
          <w:highlight w:val="none"/>
          <w:lang w:eastAsia="zh-CN"/>
        </w:rPr>
        <w:t>股东会</w:t>
      </w:r>
      <w:r>
        <w:rPr>
          <w:rFonts w:hint="eastAsia" w:ascii="方正小标宋_GBK" w:hAnsi="方正小标宋_GBK" w:eastAsia="方正小标宋_GBK" w:cs="方正小标宋_GBK"/>
          <w:b w:val="0"/>
          <w:bCs w:val="0"/>
          <w:sz w:val="36"/>
          <w:szCs w:val="36"/>
          <w:highlight w:val="none"/>
        </w:rPr>
        <w:t>情况简介</w:t>
      </w:r>
      <w:bookmarkEnd w:id="25"/>
      <w:bookmarkEnd w:id="26"/>
      <w:bookmarkEnd w:id="27"/>
      <w:bookmarkEnd w:id="28"/>
    </w:p>
    <w:p>
      <w:pPr>
        <w:tabs>
          <w:tab w:val="left" w:pos="5430"/>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Cs/>
          <w:sz w:val="32"/>
          <w:szCs w:val="32"/>
          <w:highlight w:val="none"/>
        </w:rPr>
        <w:t>一）202</w:t>
      </w:r>
      <w:r>
        <w:rPr>
          <w:rFonts w:hint="eastAsia" w:ascii="仿宋_GB2312" w:hAnsi="仿宋_GB2312" w:eastAsia="仿宋_GB2312" w:cs="仿宋_GB2312"/>
          <w:bCs/>
          <w:sz w:val="32"/>
          <w:szCs w:val="32"/>
          <w:highlight w:val="none"/>
          <w:lang w:val="en-US" w:eastAsia="zh-CN"/>
        </w:rPr>
        <w:t>5</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4</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22</w:t>
      </w:r>
      <w:r>
        <w:rPr>
          <w:rFonts w:hint="eastAsia" w:ascii="仿宋_GB2312" w:hAnsi="仿宋_GB2312" w:eastAsia="仿宋_GB2312" w:cs="仿宋_GB2312"/>
          <w:bCs/>
          <w:sz w:val="32"/>
          <w:szCs w:val="32"/>
          <w:highlight w:val="none"/>
        </w:rPr>
        <w:t>日，本行召开202</w:t>
      </w:r>
      <w:r>
        <w:rPr>
          <w:rFonts w:hint="eastAsia" w:ascii="仿宋_GB2312" w:hAnsi="仿宋_GB2312" w:eastAsia="仿宋_GB2312" w:cs="仿宋_GB2312"/>
          <w:bCs/>
          <w:sz w:val="32"/>
          <w:szCs w:val="32"/>
          <w:highlight w:val="none"/>
          <w:lang w:val="en-US" w:eastAsia="zh-CN"/>
        </w:rPr>
        <w:t>4</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度股东大会</w:t>
      </w:r>
      <w:r>
        <w:rPr>
          <w:rFonts w:hint="eastAsia" w:ascii="仿宋_GB2312" w:hAnsi="仿宋_GB2312" w:eastAsia="仿宋_GB2312" w:cs="仿宋_GB2312"/>
          <w:bCs/>
          <w:sz w:val="32"/>
          <w:szCs w:val="32"/>
          <w:highlight w:val="none"/>
        </w:rPr>
        <w:t>。本次会议出席及委托代理人出席的股东共</w:t>
      </w:r>
      <w:r>
        <w:rPr>
          <w:rFonts w:hint="eastAsia" w:ascii="仿宋_GB2312" w:hAnsi="仿宋_GB2312" w:eastAsia="仿宋_GB2312" w:cs="仿宋_GB2312"/>
          <w:bCs/>
          <w:sz w:val="32"/>
          <w:szCs w:val="32"/>
          <w:highlight w:val="none"/>
          <w:lang w:val="en-US" w:eastAsia="zh-CN"/>
        </w:rPr>
        <w:t>392</w:t>
      </w:r>
      <w:r>
        <w:rPr>
          <w:rFonts w:hint="eastAsia" w:ascii="仿宋_GB2312" w:hAnsi="仿宋_GB2312" w:eastAsia="仿宋_GB2312" w:cs="仿宋_GB2312"/>
          <w:bCs/>
          <w:sz w:val="32"/>
          <w:szCs w:val="32"/>
          <w:highlight w:val="none"/>
        </w:rPr>
        <w:t>名（其中</w:t>
      </w:r>
      <w:r>
        <w:rPr>
          <w:rFonts w:hint="eastAsia" w:ascii="仿宋_GB2312" w:hAnsi="仿宋_GB2312" w:eastAsia="仿宋_GB2312" w:cs="仿宋_GB2312"/>
          <w:bCs/>
          <w:sz w:val="32"/>
          <w:szCs w:val="32"/>
          <w:highlight w:val="none"/>
          <w:lang w:val="en-US" w:eastAsia="zh-CN"/>
        </w:rPr>
        <w:t>349</w:t>
      </w:r>
      <w:r>
        <w:rPr>
          <w:rFonts w:hint="eastAsia" w:ascii="仿宋_GB2312" w:hAnsi="仿宋_GB2312" w:eastAsia="仿宋_GB2312" w:cs="仿宋_GB2312"/>
          <w:bCs/>
          <w:sz w:val="32"/>
          <w:szCs w:val="32"/>
          <w:highlight w:val="none"/>
        </w:rPr>
        <w:t>名股东分别委托</w:t>
      </w:r>
      <w:r>
        <w:rPr>
          <w:rFonts w:hint="eastAsia" w:ascii="仿宋_GB2312" w:hAnsi="仿宋_GB2312" w:eastAsia="仿宋_GB2312" w:cs="仿宋_GB2312"/>
          <w:bCs/>
          <w:sz w:val="32"/>
          <w:szCs w:val="32"/>
          <w:highlight w:val="none"/>
          <w:lang w:val="en-US" w:eastAsia="zh-CN"/>
        </w:rPr>
        <w:t>31</w:t>
      </w:r>
      <w:r>
        <w:rPr>
          <w:rFonts w:hint="eastAsia" w:ascii="仿宋_GB2312" w:hAnsi="仿宋_GB2312" w:eastAsia="仿宋_GB2312" w:cs="仿宋_GB2312"/>
          <w:bCs/>
          <w:sz w:val="32"/>
          <w:szCs w:val="32"/>
          <w:highlight w:val="none"/>
        </w:rPr>
        <w:t>名代理人出席），所代表股份数</w:t>
      </w:r>
      <w:r>
        <w:rPr>
          <w:rFonts w:hint="eastAsia" w:ascii="仿宋_GB2312" w:hAnsi="仿宋_GB2312" w:eastAsia="仿宋_GB2312" w:cs="仿宋_GB2312"/>
          <w:bCs/>
          <w:sz w:val="32"/>
          <w:szCs w:val="32"/>
          <w:highlight w:val="none"/>
          <w:lang w:val="en-US" w:eastAsia="zh-CN"/>
        </w:rPr>
        <w:t>130566439</w:t>
      </w:r>
      <w:r>
        <w:rPr>
          <w:rFonts w:hint="eastAsia" w:ascii="仿宋_GB2312" w:hAnsi="仿宋_GB2312" w:eastAsia="仿宋_GB2312" w:cs="仿宋_GB2312"/>
          <w:bCs/>
          <w:sz w:val="32"/>
          <w:szCs w:val="32"/>
          <w:highlight w:val="none"/>
        </w:rPr>
        <w:t>股，占全体股东所代表股份总数</w:t>
      </w:r>
      <w:r>
        <w:rPr>
          <w:rFonts w:hint="eastAsia" w:ascii="仿宋_GB2312" w:hAnsi="仿宋_GB2312" w:eastAsia="仿宋_GB2312" w:cs="仿宋_GB2312"/>
          <w:bCs/>
          <w:sz w:val="32"/>
          <w:szCs w:val="32"/>
          <w:highlight w:val="none"/>
          <w:lang w:val="en-US" w:eastAsia="zh-CN"/>
        </w:rPr>
        <w:t>34.38</w:t>
      </w:r>
      <w:r>
        <w:rPr>
          <w:rFonts w:hint="eastAsia" w:ascii="仿宋_GB2312" w:hAnsi="仿宋_GB2312" w:eastAsia="仿宋_GB2312" w:cs="仿宋_GB2312"/>
          <w:bCs/>
          <w:sz w:val="32"/>
          <w:szCs w:val="32"/>
          <w:highlight w:val="none"/>
        </w:rPr>
        <w:t>%，所持</w:t>
      </w:r>
      <w:r>
        <w:rPr>
          <w:rFonts w:hint="eastAsia" w:ascii="仿宋_GB2312" w:hAnsi="仿宋_GB2312" w:eastAsia="仿宋_GB2312" w:cs="仿宋_GB2312"/>
          <w:bCs/>
          <w:sz w:val="32"/>
          <w:szCs w:val="32"/>
          <w:highlight w:val="none"/>
          <w:lang w:val="en-US" w:eastAsia="zh-CN"/>
        </w:rPr>
        <w:t>130566439</w:t>
      </w:r>
      <w:r>
        <w:rPr>
          <w:rFonts w:hint="eastAsia" w:ascii="仿宋_GB2312" w:hAnsi="仿宋_GB2312" w:eastAsia="仿宋_GB2312" w:cs="仿宋_GB2312"/>
          <w:bCs/>
          <w:sz w:val="32"/>
          <w:szCs w:val="32"/>
          <w:highlight w:val="none"/>
        </w:rPr>
        <w:t>表决权，占全体股东所持表决权总数的</w:t>
      </w:r>
      <w:r>
        <w:rPr>
          <w:rFonts w:hint="eastAsia" w:ascii="仿宋_GB2312" w:hAnsi="仿宋_GB2312" w:eastAsia="仿宋_GB2312" w:cs="仿宋_GB2312"/>
          <w:bCs/>
          <w:sz w:val="32"/>
          <w:szCs w:val="32"/>
          <w:highlight w:val="none"/>
          <w:lang w:val="en-US" w:eastAsia="zh-CN"/>
        </w:rPr>
        <w:t>34.38</w:t>
      </w:r>
      <w:r>
        <w:rPr>
          <w:rFonts w:hint="eastAsia" w:ascii="仿宋_GB2312" w:hAnsi="仿宋_GB2312" w:eastAsia="仿宋_GB2312" w:cs="仿宋_GB2312"/>
          <w:bCs/>
          <w:sz w:val="32"/>
          <w:szCs w:val="32"/>
          <w:highlight w:val="none"/>
        </w:rPr>
        <w:t>%，符合《中华人民共和国公司法》及《广东广宁农村商业银行股份有限公司章程》规定召开</w:t>
      </w:r>
      <w:r>
        <w:rPr>
          <w:rFonts w:hint="eastAsia" w:ascii="仿宋_GB2312" w:hAnsi="仿宋_GB2312" w:eastAsia="仿宋_GB2312" w:cs="仿宋_GB2312"/>
          <w:bCs/>
          <w:sz w:val="32"/>
          <w:szCs w:val="32"/>
          <w:highlight w:val="none"/>
          <w:lang w:eastAsia="zh-CN"/>
        </w:rPr>
        <w:t>股东会</w:t>
      </w:r>
      <w:r>
        <w:rPr>
          <w:rFonts w:hint="eastAsia" w:ascii="仿宋_GB2312" w:hAnsi="仿宋_GB2312" w:eastAsia="仿宋_GB2312" w:cs="仿宋_GB2312"/>
          <w:bCs/>
          <w:sz w:val="32"/>
          <w:szCs w:val="32"/>
          <w:highlight w:val="none"/>
        </w:rPr>
        <w:t>的条件。</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会议审议并以记名投票方式表决通过了下列</w:t>
      </w:r>
      <w:r>
        <w:rPr>
          <w:rFonts w:hint="eastAsia" w:ascii="仿宋_GB2312" w:hAnsi="仿宋_GB2312" w:eastAsia="仿宋_GB2312" w:cs="仿宋_GB2312"/>
          <w:bCs/>
          <w:sz w:val="32"/>
          <w:szCs w:val="32"/>
          <w:highlight w:val="none"/>
          <w:lang w:val="en-US" w:eastAsia="zh-CN"/>
        </w:rPr>
        <w:t>九</w:t>
      </w:r>
      <w:r>
        <w:rPr>
          <w:rFonts w:hint="eastAsia" w:ascii="仿宋_GB2312" w:hAnsi="仿宋_GB2312" w:eastAsia="仿宋_GB2312" w:cs="仿宋_GB2312"/>
          <w:bCs/>
          <w:sz w:val="32"/>
          <w:szCs w:val="32"/>
          <w:highlight w:val="none"/>
        </w:rPr>
        <w:t>项议案：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eastAsia="zh-CN"/>
        </w:rPr>
        <w:t>1</w:t>
      </w:r>
      <w:r>
        <w:rPr>
          <w:rFonts w:hint="eastAsia" w:ascii="仿宋_GB2312" w:hAnsi="仿宋_GB2312" w:eastAsia="仿宋_GB2312" w:cs="仿宋_GB2312"/>
          <w:bCs/>
          <w:sz w:val="32"/>
          <w:szCs w:val="32"/>
          <w:highlight w:val="none"/>
          <w:lang w:val="en-US" w:eastAsia="zh-CN"/>
        </w:rPr>
        <w:t>.</w:t>
      </w:r>
      <w:r>
        <w:rPr>
          <w:rFonts w:hint="eastAsia" w:ascii="仿宋_GB2312" w:hAnsi="仿宋_GB2312" w:eastAsia="仿宋_GB2312" w:cs="仿宋_GB2312"/>
          <w:bCs/>
          <w:sz w:val="32"/>
          <w:szCs w:val="32"/>
          <w:highlight w:val="none"/>
          <w:lang w:eastAsia="zh-CN"/>
        </w:rPr>
        <w:t>关于《广东广宁农村商业银行股份有限公司董事会2024年度工作报告》的议案；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val="en-US" w:eastAsia="zh-CN"/>
        </w:rPr>
        <w:t>2.</w:t>
      </w:r>
      <w:r>
        <w:rPr>
          <w:rFonts w:hint="eastAsia" w:ascii="仿宋_GB2312" w:hAnsi="仿宋_GB2312" w:eastAsia="仿宋_GB2312" w:cs="仿宋_GB2312"/>
          <w:bCs/>
          <w:sz w:val="32"/>
          <w:szCs w:val="32"/>
          <w:highlight w:val="none"/>
        </w:rPr>
        <w:t>关于《广东广宁农村商业银行股份有限公司监事会2024年度工作报告》的议案</w:t>
      </w:r>
      <w:r>
        <w:rPr>
          <w:rFonts w:hint="eastAsia" w:ascii="仿宋_GB2312" w:hAnsi="仿宋_GB2312" w:eastAsia="仿宋_GB2312" w:cs="仿宋_GB2312"/>
          <w:bCs/>
          <w:sz w:val="32"/>
          <w:szCs w:val="32"/>
          <w:highlight w:val="none"/>
          <w:lang w:eastAsia="zh-CN"/>
        </w:rPr>
        <w:t>；</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3.关于《广东广宁农村商业银行股份有限公司2024年度财务决算方案》的议案；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4.关于《广东广宁农村商业银行股份有限公司2025年度财务预算报告》的议案；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5.关于《广东广宁农村商业银行股份有限公司2024年度利润分配及股份分红方案》的议案；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6.关于《广东广宁农村商业银行股份有限公司2025年工资总额预算分配方案》的议案；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7.关于《广东广宁农村商业银行股份有限公司2025年高管薪酬预算分配方案》的议案；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8.关于《广东广宁农村商业银行股份有限公司2024年度信息披露方案》的议案；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9.</w:t>
      </w:r>
      <w:r>
        <w:rPr>
          <w:rFonts w:hint="eastAsia" w:ascii="仿宋_GB2312" w:hAnsi="仿宋_GB2312" w:eastAsia="仿宋_GB2312" w:cs="仿宋_GB2312"/>
          <w:bCs/>
          <w:sz w:val="32"/>
          <w:szCs w:val="32"/>
          <w:highlight w:val="none"/>
        </w:rPr>
        <w:t>关于《广东广宁农村商业银行股份有限公司2025年经营方针的报告》的议案</w:t>
      </w:r>
      <w:r>
        <w:rPr>
          <w:rFonts w:hint="eastAsia" w:ascii="仿宋_GB2312" w:hAnsi="仿宋_GB2312" w:eastAsia="仿宋_GB2312" w:cs="仿宋_GB2312"/>
          <w:bCs/>
          <w:sz w:val="32"/>
          <w:szCs w:val="32"/>
          <w:highlight w:val="none"/>
          <w:lang w:eastAsia="zh-CN"/>
        </w:rPr>
        <w:t>。</w:t>
      </w:r>
    </w:p>
    <w:p>
      <w:pPr>
        <w:tabs>
          <w:tab w:val="left" w:pos="2880"/>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本次会议经广东山丰律师事务所律师见证并出具律师见证法律意见书，本次会议的召集和召开程序符合《中华人民共和国公司法》以及《广东广宁农村商业银行股份有限公司章程》规定，出席人员资格、召集人资格、表决程序、表决结果均合法有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（二）202</w:t>
      </w:r>
      <w:r>
        <w:rPr>
          <w:rFonts w:hint="eastAsia" w:ascii="仿宋_GB2312" w:hAnsi="仿宋_GB2312" w:eastAsia="仿宋_GB2312" w:cs="仿宋_GB2312"/>
          <w:bCs/>
          <w:sz w:val="32"/>
          <w:szCs w:val="32"/>
          <w:highlight w:val="none"/>
          <w:lang w:val="en-US" w:eastAsia="zh-CN"/>
        </w:rPr>
        <w:t>5</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10</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16日</w:t>
      </w:r>
      <w:r>
        <w:rPr>
          <w:rFonts w:hint="eastAsia" w:ascii="仿宋_GB2312" w:hAnsi="仿宋_GB2312" w:eastAsia="仿宋_GB2312" w:cs="仿宋_GB2312"/>
          <w:bCs/>
          <w:sz w:val="32"/>
          <w:szCs w:val="32"/>
          <w:highlight w:val="none"/>
        </w:rPr>
        <w:t>，本行召开202</w:t>
      </w:r>
      <w:r>
        <w:rPr>
          <w:rFonts w:hint="eastAsia" w:ascii="仿宋_GB2312" w:hAnsi="仿宋_GB2312" w:eastAsia="仿宋_GB2312" w:cs="仿宋_GB2312"/>
          <w:bCs/>
          <w:sz w:val="32"/>
          <w:szCs w:val="32"/>
          <w:highlight w:val="none"/>
          <w:lang w:val="en-US" w:eastAsia="zh-CN"/>
        </w:rPr>
        <w:t>5</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第一次临时</w:t>
      </w:r>
      <w:r>
        <w:rPr>
          <w:rFonts w:hint="eastAsia" w:ascii="仿宋_GB2312" w:hAnsi="仿宋_GB2312" w:eastAsia="仿宋_GB2312" w:cs="仿宋_GB2312"/>
          <w:bCs/>
          <w:sz w:val="32"/>
          <w:szCs w:val="32"/>
          <w:highlight w:val="none"/>
          <w:lang w:eastAsia="zh-CN"/>
        </w:rPr>
        <w:t>股东</w:t>
      </w:r>
      <w:r>
        <w:rPr>
          <w:rFonts w:hint="eastAsia" w:ascii="仿宋_GB2312" w:hAnsi="仿宋_GB2312" w:eastAsia="仿宋_GB2312" w:cs="仿宋_GB2312"/>
          <w:bCs/>
          <w:sz w:val="32"/>
          <w:szCs w:val="32"/>
          <w:highlight w:val="none"/>
          <w:lang w:val="en-US" w:eastAsia="zh-CN"/>
        </w:rPr>
        <w:t>大</w:t>
      </w:r>
      <w:r>
        <w:rPr>
          <w:rFonts w:hint="eastAsia" w:ascii="仿宋_GB2312" w:hAnsi="仿宋_GB2312" w:eastAsia="仿宋_GB2312" w:cs="仿宋_GB2312"/>
          <w:bCs/>
          <w:sz w:val="32"/>
          <w:szCs w:val="32"/>
          <w:highlight w:val="none"/>
          <w:lang w:eastAsia="zh-CN"/>
        </w:rPr>
        <w:t>会</w:t>
      </w:r>
      <w:r>
        <w:rPr>
          <w:rFonts w:hint="eastAsia" w:ascii="仿宋_GB2312" w:hAnsi="仿宋_GB2312" w:eastAsia="仿宋_GB2312" w:cs="仿宋_GB2312"/>
          <w:bCs/>
          <w:sz w:val="32"/>
          <w:szCs w:val="32"/>
          <w:highlight w:val="none"/>
        </w:rPr>
        <w:t>。本次会议出席及委托代理人出席的股东共</w:t>
      </w:r>
      <w:r>
        <w:rPr>
          <w:rFonts w:hint="eastAsia" w:ascii="仿宋_GB2312" w:hAnsi="仿宋_GB2312" w:eastAsia="仿宋_GB2312" w:cs="仿宋_GB2312"/>
          <w:bCs/>
          <w:sz w:val="32"/>
          <w:szCs w:val="32"/>
          <w:highlight w:val="none"/>
          <w:lang w:val="en-US" w:eastAsia="zh-CN"/>
        </w:rPr>
        <w:t>387</w:t>
      </w:r>
      <w:r>
        <w:rPr>
          <w:rFonts w:hint="eastAsia" w:ascii="仿宋_GB2312" w:hAnsi="仿宋_GB2312" w:eastAsia="仿宋_GB2312" w:cs="仿宋_GB2312"/>
          <w:bCs/>
          <w:sz w:val="32"/>
          <w:szCs w:val="32"/>
          <w:highlight w:val="none"/>
        </w:rPr>
        <w:t>名（其中</w:t>
      </w:r>
      <w:r>
        <w:rPr>
          <w:rFonts w:hint="eastAsia" w:ascii="仿宋_GB2312" w:hAnsi="仿宋_GB2312" w:eastAsia="仿宋_GB2312" w:cs="仿宋_GB2312"/>
          <w:bCs/>
          <w:sz w:val="32"/>
          <w:szCs w:val="32"/>
          <w:highlight w:val="none"/>
          <w:lang w:val="en-US" w:eastAsia="zh-CN"/>
        </w:rPr>
        <w:t>346</w:t>
      </w:r>
      <w:r>
        <w:rPr>
          <w:rFonts w:hint="eastAsia" w:ascii="仿宋_GB2312" w:hAnsi="仿宋_GB2312" w:eastAsia="仿宋_GB2312" w:cs="仿宋_GB2312"/>
          <w:bCs/>
          <w:sz w:val="32"/>
          <w:szCs w:val="32"/>
          <w:highlight w:val="none"/>
        </w:rPr>
        <w:t>名股东分别委托</w:t>
      </w:r>
      <w:r>
        <w:rPr>
          <w:rFonts w:hint="eastAsia" w:ascii="仿宋_GB2312" w:hAnsi="仿宋_GB2312" w:eastAsia="仿宋_GB2312" w:cs="仿宋_GB2312"/>
          <w:bCs/>
          <w:sz w:val="32"/>
          <w:szCs w:val="32"/>
          <w:highlight w:val="none"/>
          <w:lang w:val="en-US" w:eastAsia="zh-CN"/>
        </w:rPr>
        <w:t>32</w:t>
      </w:r>
      <w:r>
        <w:rPr>
          <w:rFonts w:hint="eastAsia" w:ascii="仿宋_GB2312" w:hAnsi="仿宋_GB2312" w:eastAsia="仿宋_GB2312" w:cs="仿宋_GB2312"/>
          <w:bCs/>
          <w:sz w:val="32"/>
          <w:szCs w:val="32"/>
          <w:highlight w:val="none"/>
        </w:rPr>
        <w:t>名代理人出席），所代表股份数</w:t>
      </w:r>
      <w:r>
        <w:rPr>
          <w:rFonts w:hint="eastAsia" w:ascii="仿宋_GB2312" w:hAnsi="仿宋_GB2312" w:eastAsia="仿宋_GB2312" w:cs="仿宋_GB2312"/>
          <w:bCs/>
          <w:sz w:val="32"/>
          <w:szCs w:val="32"/>
          <w:highlight w:val="none"/>
          <w:lang w:val="en-US" w:eastAsia="zh-CN"/>
        </w:rPr>
        <w:t>130381692</w:t>
      </w:r>
      <w:r>
        <w:rPr>
          <w:rFonts w:hint="eastAsia" w:ascii="仿宋_GB2312" w:hAnsi="仿宋_GB2312" w:eastAsia="仿宋_GB2312" w:cs="仿宋_GB2312"/>
          <w:bCs/>
          <w:sz w:val="32"/>
          <w:szCs w:val="32"/>
          <w:highlight w:val="none"/>
        </w:rPr>
        <w:t>股，占全体股东所代表股份总数</w:t>
      </w:r>
      <w:r>
        <w:rPr>
          <w:rFonts w:hint="eastAsia" w:ascii="仿宋_GB2312" w:hAnsi="仿宋_GB2312" w:eastAsia="仿宋_GB2312" w:cs="仿宋_GB2312"/>
          <w:bCs/>
          <w:sz w:val="32"/>
          <w:szCs w:val="32"/>
          <w:highlight w:val="none"/>
          <w:lang w:val="en-US" w:eastAsia="zh-CN"/>
        </w:rPr>
        <w:t>34.33</w:t>
      </w:r>
      <w:r>
        <w:rPr>
          <w:rFonts w:hint="eastAsia" w:ascii="仿宋_GB2312" w:hAnsi="仿宋_GB2312" w:eastAsia="仿宋_GB2312" w:cs="仿宋_GB2312"/>
          <w:bCs/>
          <w:sz w:val="32"/>
          <w:szCs w:val="32"/>
          <w:highlight w:val="none"/>
        </w:rPr>
        <w:t>%，所持</w:t>
      </w:r>
      <w:r>
        <w:rPr>
          <w:rFonts w:hint="eastAsia" w:ascii="仿宋_GB2312" w:hAnsi="仿宋_GB2312" w:eastAsia="仿宋_GB2312" w:cs="仿宋_GB2312"/>
          <w:bCs/>
          <w:sz w:val="32"/>
          <w:szCs w:val="32"/>
          <w:highlight w:val="none"/>
          <w:lang w:val="en-US" w:eastAsia="zh-CN"/>
        </w:rPr>
        <w:t>130381692</w:t>
      </w:r>
      <w:r>
        <w:rPr>
          <w:rFonts w:hint="eastAsia" w:ascii="仿宋_GB2312" w:hAnsi="仿宋_GB2312" w:eastAsia="仿宋_GB2312" w:cs="仿宋_GB2312"/>
          <w:bCs/>
          <w:sz w:val="32"/>
          <w:szCs w:val="32"/>
          <w:highlight w:val="none"/>
        </w:rPr>
        <w:t>表决权，占全体股东所持表决权总数的</w:t>
      </w:r>
      <w:r>
        <w:rPr>
          <w:rFonts w:hint="eastAsia" w:ascii="仿宋_GB2312" w:hAnsi="仿宋_GB2312" w:eastAsia="仿宋_GB2312" w:cs="仿宋_GB2312"/>
          <w:bCs/>
          <w:sz w:val="32"/>
          <w:szCs w:val="32"/>
          <w:highlight w:val="none"/>
          <w:lang w:val="en-US" w:eastAsia="zh-CN"/>
        </w:rPr>
        <w:t>34.33</w:t>
      </w:r>
      <w:r>
        <w:rPr>
          <w:rFonts w:hint="eastAsia" w:ascii="仿宋_GB2312" w:hAnsi="仿宋_GB2312" w:eastAsia="仿宋_GB2312" w:cs="仿宋_GB2312"/>
          <w:bCs/>
          <w:sz w:val="32"/>
          <w:szCs w:val="32"/>
          <w:highlight w:val="none"/>
        </w:rPr>
        <w:t>%，符合《中华人民共和国公司法》及《广东广宁农村商业银行股份有限公司章程》规定召开</w:t>
      </w:r>
      <w:r>
        <w:rPr>
          <w:rFonts w:hint="eastAsia" w:ascii="仿宋_GB2312" w:hAnsi="仿宋_GB2312" w:eastAsia="仿宋_GB2312" w:cs="仿宋_GB2312"/>
          <w:bCs/>
          <w:sz w:val="32"/>
          <w:szCs w:val="32"/>
          <w:highlight w:val="none"/>
          <w:lang w:eastAsia="zh-CN"/>
        </w:rPr>
        <w:t>股东会</w:t>
      </w:r>
      <w:r>
        <w:rPr>
          <w:rFonts w:hint="eastAsia" w:ascii="仿宋_GB2312" w:hAnsi="仿宋_GB2312" w:eastAsia="仿宋_GB2312" w:cs="仿宋_GB2312"/>
          <w:bCs/>
          <w:sz w:val="32"/>
          <w:szCs w:val="32"/>
          <w:highlight w:val="none"/>
        </w:rPr>
        <w:t>的条件。</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会议审议并以记名投票方式表决通过了以下</w:t>
      </w:r>
      <w:r>
        <w:rPr>
          <w:rFonts w:hint="eastAsia" w:ascii="仿宋_GB2312" w:hAnsi="仿宋_GB2312" w:eastAsia="仿宋_GB2312" w:cs="仿宋_GB2312"/>
          <w:bCs/>
          <w:sz w:val="32"/>
          <w:szCs w:val="32"/>
          <w:highlight w:val="none"/>
          <w:lang w:val="en-US" w:eastAsia="zh-CN"/>
        </w:rPr>
        <w:t>三项</w:t>
      </w:r>
      <w:r>
        <w:rPr>
          <w:rFonts w:hint="eastAsia" w:ascii="仿宋_GB2312" w:hAnsi="仿宋_GB2312" w:eastAsia="仿宋_GB2312" w:cs="仿宋_GB2312"/>
          <w:bCs/>
          <w:sz w:val="32"/>
          <w:szCs w:val="32"/>
          <w:highlight w:val="none"/>
        </w:rPr>
        <w:t>议案，并形成相关决议：</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eastAsia="zh-CN"/>
        </w:rPr>
        <w:t>1</w:t>
      </w:r>
      <w:r>
        <w:rPr>
          <w:rFonts w:hint="eastAsia" w:ascii="仿宋_GB2312" w:hAnsi="仿宋_GB2312" w:eastAsia="仿宋_GB2312" w:cs="仿宋_GB2312"/>
          <w:bCs/>
          <w:sz w:val="32"/>
          <w:szCs w:val="32"/>
          <w:highlight w:val="none"/>
          <w:lang w:val="en-US" w:eastAsia="zh-CN"/>
        </w:rPr>
        <w:t>.关于聘请安礼华粤（广东）会计师事务所的议案；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2.关于选举广东广宁农村商业银行股份有限公司第二届董事会董事的议案；</w:t>
      </w:r>
    </w:p>
    <w:p>
      <w:pPr>
        <w:tabs>
          <w:tab w:val="left" w:pos="2880"/>
        </w:tabs>
        <w:spacing w:line="360" w:lineRule="auto"/>
        <w:ind w:firstLine="640" w:firstLineChars="200"/>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3.关于调整广东广宁农村商业银行股份有限公司法人治理组织架构的议案。</w:t>
      </w:r>
    </w:p>
    <w:p>
      <w:pPr>
        <w:tabs>
          <w:tab w:val="left" w:pos="2880"/>
        </w:tabs>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Cs/>
          <w:sz w:val="32"/>
          <w:szCs w:val="32"/>
          <w:highlight w:val="none"/>
        </w:rPr>
        <w:t>本次会议经广东山丰律师事务所律师见证并出具律师见证法律意见书，本次会议</w:t>
      </w:r>
      <w:r>
        <w:rPr>
          <w:rFonts w:hint="eastAsia" w:ascii="仿宋_GB2312" w:hAnsi="仿宋_GB2312" w:eastAsia="仿宋_GB2312" w:cs="仿宋_GB2312"/>
          <w:b w:val="0"/>
          <w:bCs/>
          <w:sz w:val="32"/>
          <w:szCs w:val="32"/>
          <w:highlight w:val="none"/>
        </w:rPr>
        <w:t>的召集和召开程序符合《中华人民共和国公司法》以及《广东广宁农村商</w:t>
      </w:r>
      <w:r>
        <w:rPr>
          <w:rFonts w:hint="eastAsia" w:ascii="仿宋_GB2312" w:hAnsi="仿宋_GB2312" w:eastAsia="仿宋_GB2312" w:cs="仿宋_GB2312"/>
          <w:bCs/>
          <w:sz w:val="32"/>
          <w:szCs w:val="32"/>
          <w:highlight w:val="none"/>
        </w:rPr>
        <w:t>业银行股份有限公司章程》规定，出席人员资格、召集人资格、表决程序、表决结果均合法有效。</w:t>
      </w:r>
    </w:p>
    <w:p>
      <w:pPr>
        <w:spacing w:line="360" w:lineRule="auto"/>
        <w:rPr>
          <w:rFonts w:hint="eastAsia" w:ascii="仿宋_GB2312" w:hAnsi="仿宋_GB2312" w:eastAsia="仿宋_GB2312" w:cs="仿宋_GB2312"/>
          <w:sz w:val="32"/>
          <w:szCs w:val="32"/>
          <w:highlight w:val="none"/>
        </w:rPr>
      </w:pPr>
    </w:p>
    <w:p>
      <w:pPr>
        <w:jc w:val="center"/>
        <w:rPr>
          <w:rFonts w:hint="eastAsia" w:eastAsia="宋体"/>
          <w:color w:val="FF0000"/>
          <w:highlight w:val="none"/>
          <w:lang w:eastAsia="zh-CN"/>
        </w:rPr>
      </w:pPr>
      <w:bookmarkStart w:id="29" w:name="_Toc12983"/>
      <w:bookmarkStart w:id="30" w:name="_Toc31508"/>
      <w:bookmarkStart w:id="31" w:name="_Toc21276"/>
      <w:bookmarkStart w:id="32" w:name="_Toc6113"/>
      <w:r>
        <w:rPr>
          <w:rFonts w:hint="eastAsia" w:ascii="方正小标宋_GBK" w:hAnsi="方正小标宋_GBK" w:eastAsia="方正小标宋_GBK" w:cs="方正小标宋_GBK"/>
          <w:b w:val="0"/>
          <w:bCs w:val="0"/>
          <w:sz w:val="36"/>
          <w:szCs w:val="36"/>
          <w:highlight w:val="none"/>
        </w:rPr>
        <w:t>第</w:t>
      </w:r>
      <w:r>
        <w:rPr>
          <w:rFonts w:hint="eastAsia" w:ascii="方正小标宋_GBK" w:hAnsi="方正小标宋_GBK" w:eastAsia="方正小标宋_GBK" w:cs="方正小标宋_GBK"/>
          <w:b w:val="0"/>
          <w:bCs w:val="0"/>
          <w:sz w:val="36"/>
          <w:szCs w:val="36"/>
          <w:highlight w:val="none"/>
          <w:lang w:val="en-US" w:eastAsia="zh-CN"/>
        </w:rPr>
        <w:t>七</w:t>
      </w:r>
      <w:r>
        <w:rPr>
          <w:rFonts w:hint="eastAsia" w:ascii="方正小标宋_GBK" w:hAnsi="方正小标宋_GBK" w:eastAsia="方正小标宋_GBK" w:cs="方正小标宋_GBK"/>
          <w:b w:val="0"/>
          <w:bCs w:val="0"/>
          <w:sz w:val="36"/>
          <w:szCs w:val="36"/>
          <w:highlight w:val="none"/>
        </w:rPr>
        <w:t>节 年度薪酬报告</w:t>
      </w:r>
      <w:bookmarkEnd w:id="29"/>
      <w:bookmarkEnd w:id="30"/>
      <w:bookmarkEnd w:id="31"/>
      <w:bookmarkEnd w:id="32"/>
    </w:p>
    <w:p>
      <w:pPr>
        <w:rPr>
          <w:highlight w:val="none"/>
        </w:rPr>
      </w:pP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一、薪酬管理架构及决策程序，包括薪酬管理委员会的结构和权限</w:t>
      </w:r>
    </w:p>
    <w:p>
      <w:pPr>
        <w:pStyle w:val="8"/>
        <w:spacing w:before="156" w:beforeLines="50" w:line="360" w:lineRule="auto"/>
        <w:ind w:firstLine="640" w:firstLineChars="200"/>
        <w:rPr>
          <w:rFonts w:hint="eastAsia" w:ascii="仿宋_GB2312" w:hAnsi="仿宋_GB2312" w:eastAsia="仿宋_GB2312" w:cs="仿宋_GB2312"/>
          <w:color w:val="auto"/>
          <w:sz w:val="32"/>
          <w:szCs w:val="32"/>
          <w:highlight w:val="none"/>
        </w:rPr>
      </w:pPr>
      <w:r>
        <w:rPr>
          <w:rFonts w:hint="eastAsia" w:ascii="方正楷体_GBK" w:hAnsi="方正楷体_GBK" w:eastAsia="方正楷体_GBK" w:cs="方正楷体_GBK"/>
          <w:kern w:val="2"/>
          <w:sz w:val="32"/>
          <w:szCs w:val="32"/>
          <w:highlight w:val="none"/>
          <w:lang w:val="en-US" w:eastAsia="zh-CN" w:bidi="ar-SA"/>
        </w:rPr>
        <w:t>（一）董事会下设薪酬及提名委员会，对董事会负责。</w:t>
      </w:r>
      <w:bookmarkStart w:id="33" w:name="_Ref245716968"/>
      <w:r>
        <w:rPr>
          <w:rFonts w:hint="eastAsia" w:ascii="仿宋_GB2312" w:hAnsi="仿宋_GB2312" w:eastAsia="仿宋_GB2312" w:cs="仿宋_GB2312"/>
          <w:sz w:val="32"/>
          <w:szCs w:val="32"/>
          <w:highlight w:val="none"/>
        </w:rPr>
        <w:t>结构：委员会成员有3人，具有与委员会职责相适应的专业知识和经验，委员会主任由独立董事担任。</w:t>
      </w:r>
      <w:bookmarkEnd w:id="33"/>
      <w:r>
        <w:rPr>
          <w:rFonts w:hint="eastAsia" w:ascii="仿宋_GB2312" w:hAnsi="仿宋_GB2312" w:eastAsia="仿宋_GB2312" w:cs="仿宋_GB2312"/>
          <w:sz w:val="32"/>
          <w:szCs w:val="32"/>
          <w:highlight w:val="none"/>
        </w:rPr>
        <w:t>权限包括：拟定董事和高级管理人员的选任程序和标准，对董事和高级管理人员的任职资格和条件进行初步审核，并向董事会提出建议；审议全行薪酬管理制度和政策，拟定董事</w:t>
      </w:r>
      <w:r>
        <w:rPr>
          <w:rFonts w:hint="eastAsia" w:hAnsi="仿宋_GB2312" w:cs="仿宋_GB2312"/>
          <w:sz w:val="32"/>
          <w:szCs w:val="32"/>
          <w:highlight w:val="none"/>
          <w:lang w:eastAsia="zh-CN"/>
        </w:rPr>
        <w:t>、</w:t>
      </w:r>
      <w:r>
        <w:rPr>
          <w:rFonts w:hint="eastAsia" w:hAnsi="仿宋_GB2312" w:cs="仿宋_GB2312"/>
          <w:sz w:val="32"/>
          <w:szCs w:val="32"/>
          <w:highlight w:val="none"/>
          <w:lang w:val="en-US" w:eastAsia="zh-CN"/>
        </w:rPr>
        <w:t>监事</w:t>
      </w:r>
      <w:r>
        <w:rPr>
          <w:rFonts w:hint="eastAsia" w:ascii="仿宋_GB2312" w:hAnsi="仿宋_GB2312" w:eastAsia="仿宋_GB2312" w:cs="仿宋_GB2312"/>
          <w:sz w:val="32"/>
          <w:szCs w:val="32"/>
          <w:highlight w:val="none"/>
          <w:lang w:val="en-US" w:eastAsia="zh-CN"/>
        </w:rPr>
        <w:t>和</w:t>
      </w:r>
      <w:r>
        <w:rPr>
          <w:rFonts w:hint="eastAsia" w:ascii="仿宋_GB2312" w:hAnsi="仿宋_GB2312" w:eastAsia="仿宋_GB2312" w:cs="仿宋_GB2312"/>
          <w:sz w:val="32"/>
          <w:szCs w:val="32"/>
          <w:highlight w:val="none"/>
        </w:rPr>
        <w:t>高级管理人员的薪酬方案，向董事会提出薪酬方案的建议，并监督方案</w:t>
      </w:r>
      <w:r>
        <w:rPr>
          <w:rFonts w:hint="eastAsia" w:ascii="仿宋_GB2312" w:hAnsi="仿宋_GB2312" w:eastAsia="仿宋_GB2312" w:cs="仿宋_GB2312"/>
          <w:color w:val="auto"/>
          <w:sz w:val="32"/>
          <w:szCs w:val="32"/>
          <w:highlight w:val="none"/>
        </w:rPr>
        <w:t>的实施；法律、法规、监管规定以及董事会授权的其他事项。</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（二）经营管理层下设薪酬与绩效管理委员会，对总行行长负责。</w:t>
      </w:r>
    </w:p>
    <w:p>
      <w:pPr>
        <w:spacing w:line="360" w:lineRule="auto"/>
        <w:ind w:firstLine="480" w:firstLineChars="150"/>
        <w:rPr>
          <w:rFonts w:hint="eastAsia" w:ascii="仿宋_GB2312" w:hAnsi="仿宋_GB2312" w:eastAsia="仿宋_GB2312" w:cs="仿宋_GB2312"/>
          <w:kern w:val="0"/>
          <w:sz w:val="32"/>
          <w:szCs w:val="32"/>
          <w:highlight w:val="none"/>
          <w:lang w:val="en-US" w:eastAsia="zh-CN" w:bidi="ar-SA"/>
        </w:rPr>
      </w:pPr>
      <w:r>
        <w:rPr>
          <w:rFonts w:hint="eastAsia" w:ascii="仿宋_GB2312" w:hAnsi="仿宋_GB2312" w:eastAsia="仿宋_GB2312" w:cs="仿宋_GB2312"/>
          <w:kern w:val="0"/>
          <w:sz w:val="32"/>
          <w:szCs w:val="32"/>
          <w:highlight w:val="none"/>
          <w:lang w:val="en-US" w:eastAsia="zh-CN" w:bidi="ar-SA"/>
        </w:rPr>
        <w:t>结构：委员会成员有7人，主任委员由行长担任，委员由人力资源部、财务资金部、运营管理部等部门的负责人。权限包括：人力资源规划、薪酬管理、绩效管理；研究制定全员等级工资制的推行、督导落实等。</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二、年度薪酬总量、受益人及薪酬结构分布</w:t>
      </w:r>
    </w:p>
    <w:p>
      <w:pPr>
        <w:spacing w:line="360" w:lineRule="auto"/>
        <w:ind w:firstLine="480" w:firstLineChars="150"/>
        <w:rPr>
          <w:rFonts w:hint="eastAsia" w:ascii="仿宋_GB2312" w:hAnsi="仿宋_GB2312" w:eastAsia="仿宋_GB2312" w:cs="仿宋_GB2312"/>
          <w:kern w:val="0"/>
          <w:sz w:val="32"/>
          <w:szCs w:val="32"/>
          <w:highlight w:val="none"/>
          <w:lang w:val="en-US" w:eastAsia="zh-CN" w:bidi="ar-SA"/>
        </w:rPr>
      </w:pPr>
      <w:r>
        <w:rPr>
          <w:rFonts w:hint="eastAsia" w:ascii="仿宋_GB2312" w:hAnsi="仿宋_GB2312" w:eastAsia="仿宋_GB2312" w:cs="仿宋_GB2312"/>
          <w:kern w:val="0"/>
          <w:sz w:val="32"/>
          <w:szCs w:val="32"/>
          <w:highlight w:val="none"/>
          <w:lang w:val="en-US" w:eastAsia="zh-CN" w:bidi="ar-SA"/>
        </w:rPr>
        <w:t>本行2025年度薪酬总额严格按照省联社相关文件核定标准和增长幅度核发，受益人为本行全体编制内在职员工。薪酬结构主要由固定收入、绩效工资、清收处置不良资产奖及其他收入构成。</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三、薪酬与业绩衡量、风险调整的标准</w:t>
      </w:r>
    </w:p>
    <w:p>
      <w:pPr>
        <w:spacing w:line="360" w:lineRule="auto"/>
        <w:ind w:firstLine="480" w:firstLineChars="150"/>
        <w:rPr>
          <w:rFonts w:hint="eastAsia" w:ascii="仿宋_GB2312" w:hAnsi="仿宋_GB2312" w:eastAsia="仿宋_GB2312" w:cs="仿宋_GB2312"/>
          <w:kern w:val="0"/>
          <w:sz w:val="32"/>
          <w:szCs w:val="32"/>
          <w:highlight w:val="none"/>
          <w:lang w:val="en-US" w:eastAsia="zh-CN" w:bidi="ar-SA"/>
        </w:rPr>
      </w:pPr>
      <w:r>
        <w:rPr>
          <w:rFonts w:hint="eastAsia" w:ascii="仿宋_GB2312" w:hAnsi="仿宋_GB2312" w:eastAsia="仿宋_GB2312" w:cs="仿宋_GB2312"/>
          <w:kern w:val="0"/>
          <w:sz w:val="32"/>
          <w:szCs w:val="32"/>
          <w:highlight w:val="none"/>
          <w:lang w:val="en-US" w:eastAsia="zh-CN" w:bidi="ar-SA"/>
        </w:rPr>
        <w:t>本行薪酬与业绩衡量、风险调整的标准是年度经营目标考核计划和绩效考核管理办法。执行年初制订的2025年经营目标考核计划，对各经营单位完成的考核指标（包括风险管理指标、经营效益指标、发展转型指标、合规及内控管理指标）情况进行考核和绩效薪酬分配；季度按照考核得分、员工考核系数及人员出勤月数分配到各管理部门和经营单位，由各管理部门和经营单位结合员工季度工作落实情况、工作表现及履职情况据实考核其个人得分，并按个人考核得分进行再分配。</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四、薪酬延期支付和非现金薪酬情况，包括扣回情况</w:t>
      </w:r>
    </w:p>
    <w:p>
      <w:pPr>
        <w:spacing w:line="360" w:lineRule="auto"/>
        <w:ind w:firstLine="480" w:firstLineChars="150"/>
        <w:rPr>
          <w:rFonts w:hint="eastAsia" w:ascii="仿宋_GB2312" w:hAnsi="仿宋_GB2312" w:eastAsia="仿宋_GB2312" w:cs="仿宋_GB2312"/>
          <w:kern w:val="0"/>
          <w:sz w:val="32"/>
          <w:szCs w:val="32"/>
          <w:highlight w:val="none"/>
          <w:lang w:val="en-US" w:eastAsia="zh-CN" w:bidi="ar-SA"/>
        </w:rPr>
      </w:pPr>
      <w:r>
        <w:rPr>
          <w:rFonts w:hint="eastAsia" w:ascii="仿宋_GB2312" w:hAnsi="仿宋_GB2312" w:eastAsia="仿宋_GB2312" w:cs="仿宋_GB2312"/>
          <w:kern w:val="0"/>
          <w:sz w:val="32"/>
          <w:szCs w:val="32"/>
          <w:highlight w:val="none"/>
          <w:lang w:val="zh-CN" w:eastAsia="zh-CN" w:bidi="ar-SA"/>
        </w:rPr>
        <w:t>根据《商业银行稳健薪酬监管指引》（银监发[2010]14号）和</w:t>
      </w:r>
      <w:r>
        <w:rPr>
          <w:rFonts w:hint="eastAsia" w:ascii="仿宋_GB2312" w:hAnsi="仿宋_GB2312" w:eastAsia="仿宋_GB2312" w:cs="仿宋_GB2312"/>
          <w:kern w:val="0"/>
          <w:sz w:val="32"/>
          <w:szCs w:val="32"/>
          <w:highlight w:val="none"/>
          <w:lang w:val="en-US" w:eastAsia="zh-CN" w:bidi="ar-SA"/>
        </w:rPr>
        <w:t>《关于建立完善银行保险机构绩效薪酬追索扣回机制指导意见的通知》（银保监办发[2021]17号)有关规定，制定《广东广宁农村商业银行股份有限公司薪酬延期支付实施细则（2022</w:t>
      </w:r>
      <w:r>
        <w:rPr>
          <w:rFonts w:hint="eastAsia" w:ascii="仿宋_GB2312" w:hAnsi="仿宋_GB2312" w:eastAsia="仿宋_GB2312" w:cs="仿宋_GB2312"/>
          <w:kern w:val="0"/>
          <w:sz w:val="32"/>
          <w:szCs w:val="32"/>
          <w:highlight w:val="none"/>
          <w:lang w:val="zh-CN" w:eastAsia="zh-CN" w:bidi="ar-SA"/>
        </w:rPr>
        <w:t>年版）》和</w:t>
      </w:r>
      <w:r>
        <w:rPr>
          <w:rFonts w:hint="eastAsia" w:ascii="仿宋_GB2312" w:hAnsi="仿宋_GB2312" w:eastAsia="仿宋_GB2312" w:cs="仿宋_GB2312"/>
          <w:kern w:val="0"/>
          <w:sz w:val="32"/>
          <w:szCs w:val="32"/>
          <w:highlight w:val="none"/>
          <w:lang w:val="en-US" w:eastAsia="zh-CN" w:bidi="ar-SA"/>
        </w:rPr>
        <w:t>《广东广宁农村商业银行股份有限公司绩效薪酬追索扣回实施细则（2024年版）》</w:t>
      </w:r>
      <w:r>
        <w:rPr>
          <w:rFonts w:hint="eastAsia" w:ascii="仿宋_GB2312" w:hAnsi="仿宋_GB2312" w:eastAsia="仿宋_GB2312" w:cs="仿宋_GB2312"/>
          <w:kern w:val="0"/>
          <w:sz w:val="32"/>
          <w:szCs w:val="32"/>
          <w:highlight w:val="none"/>
          <w:lang w:val="zh-CN" w:eastAsia="zh-CN" w:bidi="ar-SA"/>
        </w:rPr>
        <w:t>，使本行薪酬延期支付制度和</w:t>
      </w:r>
      <w:r>
        <w:rPr>
          <w:rFonts w:hint="eastAsia" w:ascii="仿宋_GB2312" w:hAnsi="仿宋_GB2312" w:eastAsia="仿宋_GB2312" w:cs="仿宋_GB2312"/>
          <w:kern w:val="0"/>
          <w:sz w:val="32"/>
          <w:szCs w:val="32"/>
          <w:highlight w:val="none"/>
          <w:lang w:val="en-US" w:eastAsia="zh-CN" w:bidi="ar-SA"/>
        </w:rPr>
        <w:t>绩效薪酬追索扣回机制</w:t>
      </w:r>
      <w:r>
        <w:rPr>
          <w:rFonts w:hint="eastAsia" w:ascii="仿宋_GB2312" w:hAnsi="仿宋_GB2312" w:eastAsia="仿宋_GB2312" w:cs="仿宋_GB2312"/>
          <w:kern w:val="0"/>
          <w:sz w:val="32"/>
          <w:szCs w:val="32"/>
          <w:highlight w:val="none"/>
          <w:lang w:val="zh-CN" w:eastAsia="zh-CN" w:bidi="ar-SA"/>
        </w:rPr>
        <w:t>符合监管部门要求，更好地提高风险管控能力和经营管理水平，增强从业人员合规意识和风险意识，充分发挥薪酬在法人治理、经营管理以及风险管控中的导向作用，促进本行各项业务稳健经营和可持续发展。本行不存在非现金薪酬情况。</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五、董事会、</w:t>
      </w:r>
      <w:r>
        <w:rPr>
          <w:rFonts w:hint="eastAsia" w:ascii="黑体" w:eastAsia="黑体" w:cs="Times New Roman"/>
          <w:sz w:val="32"/>
          <w:szCs w:val="32"/>
          <w:highlight w:val="none"/>
          <w:lang w:val="en-US" w:eastAsia="zh-CN"/>
        </w:rPr>
        <w:t>监事会及</w:t>
      </w:r>
      <w:r>
        <w:rPr>
          <w:rFonts w:hint="eastAsia" w:ascii="黑体" w:hAnsi="Times New Roman" w:eastAsia="黑体" w:cs="Times New Roman"/>
          <w:sz w:val="32"/>
          <w:szCs w:val="32"/>
          <w:highlight w:val="none"/>
        </w:rPr>
        <w:t>高级管理层和对银行有重要风险有重要影响岗位的员工的具体薪酬信息</w:t>
      </w:r>
    </w:p>
    <w:p>
      <w:pPr>
        <w:spacing w:line="360" w:lineRule="auto"/>
        <w:ind w:firstLine="480" w:firstLineChars="150"/>
        <w:rPr>
          <w:rFonts w:hint="eastAsia" w:ascii="仿宋_GB2312" w:hAnsi="仿宋_GB2312" w:eastAsia="仿宋_GB2312" w:cs="仿宋_GB2312"/>
          <w:kern w:val="0"/>
          <w:sz w:val="32"/>
          <w:szCs w:val="32"/>
          <w:highlight w:val="none"/>
          <w:lang w:val="zh-CN" w:eastAsia="zh-CN" w:bidi="ar-SA"/>
        </w:rPr>
      </w:pPr>
      <w:r>
        <w:rPr>
          <w:rFonts w:hint="eastAsia" w:ascii="仿宋_GB2312" w:hAnsi="仿宋_GB2312" w:eastAsia="仿宋_GB2312" w:cs="仿宋_GB2312"/>
          <w:kern w:val="0"/>
          <w:sz w:val="32"/>
          <w:szCs w:val="32"/>
          <w:highlight w:val="none"/>
          <w:lang w:val="zh-CN" w:eastAsia="zh-CN" w:bidi="ar-SA"/>
        </w:rPr>
        <w:t>（一）薪酬管理制度。本行不断建立健全薪酬管理制度。制定了《广东</w:t>
      </w:r>
      <w:r>
        <w:rPr>
          <w:rFonts w:hint="eastAsia" w:ascii="仿宋_GB2312" w:hAnsi="仿宋_GB2312" w:eastAsia="仿宋_GB2312" w:cs="仿宋_GB2312"/>
          <w:kern w:val="0"/>
          <w:sz w:val="32"/>
          <w:szCs w:val="32"/>
          <w:highlight w:val="none"/>
          <w:lang w:val="en-US" w:eastAsia="zh-CN" w:bidi="ar-SA"/>
        </w:rPr>
        <w:t>广宁</w:t>
      </w:r>
      <w:r>
        <w:rPr>
          <w:rFonts w:hint="eastAsia" w:ascii="仿宋_GB2312" w:hAnsi="仿宋_GB2312" w:eastAsia="仿宋_GB2312" w:cs="仿宋_GB2312"/>
          <w:kern w:val="0"/>
          <w:sz w:val="32"/>
          <w:szCs w:val="32"/>
          <w:highlight w:val="none"/>
          <w:lang w:val="zh-CN" w:eastAsia="zh-CN" w:bidi="ar-SA"/>
        </w:rPr>
        <w:t>农村商业银行股份有限公司员工薪酬管理办法》《广东</w:t>
      </w:r>
      <w:r>
        <w:rPr>
          <w:rFonts w:hint="eastAsia" w:ascii="仿宋_GB2312" w:hAnsi="仿宋_GB2312" w:eastAsia="仿宋_GB2312" w:cs="仿宋_GB2312"/>
          <w:kern w:val="0"/>
          <w:sz w:val="32"/>
          <w:szCs w:val="32"/>
          <w:highlight w:val="none"/>
          <w:lang w:val="en-US" w:eastAsia="zh-CN" w:bidi="ar-SA"/>
        </w:rPr>
        <w:t>广宁</w:t>
      </w:r>
      <w:r>
        <w:rPr>
          <w:rFonts w:hint="eastAsia" w:ascii="仿宋_GB2312" w:hAnsi="仿宋_GB2312" w:eastAsia="仿宋_GB2312" w:cs="仿宋_GB2312"/>
          <w:kern w:val="0"/>
          <w:sz w:val="32"/>
          <w:szCs w:val="32"/>
          <w:highlight w:val="none"/>
          <w:lang w:val="zh-CN" w:eastAsia="zh-CN" w:bidi="ar-SA"/>
        </w:rPr>
        <w:t>农村商业银行股份有限公司绩效考核办法》，覆盖薪酬管理业务的全流程，并有效指导薪酬管理工作的开展。</w:t>
      </w:r>
    </w:p>
    <w:p>
      <w:pPr>
        <w:spacing w:line="360" w:lineRule="auto"/>
        <w:ind w:firstLine="480" w:firstLineChars="150"/>
        <w:rPr>
          <w:rFonts w:hint="eastAsia" w:ascii="仿宋_GB2312" w:hAnsi="仿宋_GB2312" w:eastAsia="仿宋_GB2312" w:cs="仿宋_GB2312"/>
          <w:kern w:val="0"/>
          <w:sz w:val="32"/>
          <w:szCs w:val="32"/>
          <w:highlight w:val="none"/>
          <w:lang w:val="zh-CN" w:eastAsia="zh-CN" w:bidi="ar-SA"/>
        </w:rPr>
      </w:pPr>
      <w:r>
        <w:rPr>
          <w:rFonts w:hint="eastAsia" w:ascii="仿宋_GB2312" w:hAnsi="仿宋_GB2312" w:eastAsia="仿宋_GB2312" w:cs="仿宋_GB2312"/>
          <w:kern w:val="0"/>
          <w:sz w:val="32"/>
          <w:szCs w:val="32"/>
          <w:highlight w:val="none"/>
          <w:lang w:val="zh-CN" w:eastAsia="zh-CN" w:bidi="ar-SA"/>
        </w:rPr>
        <w:t>（二）董事、监事及高级管理人员和对本行风险有重要影响岗位员工的薪酬信息。本行2025年度发放外部董事（含独立董事）补贴31.05万元，发放外部监事补贴10.80万元，高级管理人员薪酬438.45万元（其中延期支付160.83万元）。</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六、年度薪酬方案制定、备案及经济、风险和社会责任指标完成考核情况</w:t>
      </w:r>
    </w:p>
    <w:p>
      <w:pPr>
        <w:spacing w:line="360" w:lineRule="auto"/>
        <w:ind w:firstLine="480" w:firstLineChars="150"/>
        <w:rPr>
          <w:rFonts w:hint="eastAsia" w:ascii="仿宋_GB2312" w:hAnsi="仿宋_GB2312" w:eastAsia="仿宋_GB2312" w:cs="仿宋_GB2312"/>
          <w:kern w:val="0"/>
          <w:sz w:val="32"/>
          <w:szCs w:val="32"/>
          <w:highlight w:val="none"/>
          <w:lang w:val="zh-CN" w:eastAsia="zh-CN" w:bidi="ar-SA"/>
        </w:rPr>
      </w:pPr>
      <w:r>
        <w:rPr>
          <w:rFonts w:hint="eastAsia" w:ascii="仿宋_GB2312" w:hAnsi="仿宋_GB2312" w:eastAsia="仿宋_GB2312" w:cs="仿宋_GB2312"/>
          <w:kern w:val="0"/>
          <w:sz w:val="32"/>
          <w:szCs w:val="32"/>
          <w:highlight w:val="none"/>
          <w:lang w:val="zh-CN" w:eastAsia="zh-CN" w:bidi="ar-SA"/>
        </w:rPr>
        <w:t>本行年初制定年度薪酬方案，并经董事会、股东大会通过。202</w:t>
      </w:r>
      <w:r>
        <w:rPr>
          <w:rFonts w:hint="eastAsia" w:ascii="仿宋_GB2312" w:hAnsi="仿宋_GB2312" w:eastAsia="仿宋_GB2312" w:cs="仿宋_GB2312"/>
          <w:kern w:val="0"/>
          <w:sz w:val="32"/>
          <w:szCs w:val="32"/>
          <w:highlight w:val="none"/>
          <w:lang w:val="en-US" w:eastAsia="zh-CN" w:bidi="ar-SA"/>
        </w:rPr>
        <w:t>5</w:t>
      </w:r>
      <w:r>
        <w:rPr>
          <w:rFonts w:hint="eastAsia" w:ascii="仿宋_GB2312" w:hAnsi="仿宋_GB2312" w:eastAsia="仿宋_GB2312" w:cs="仿宋_GB2312"/>
          <w:kern w:val="0"/>
          <w:sz w:val="32"/>
          <w:szCs w:val="32"/>
          <w:highlight w:val="none"/>
          <w:lang w:val="zh-CN" w:eastAsia="zh-CN" w:bidi="ar-SA"/>
        </w:rPr>
        <w:t>年，能较好地完成经济、风险和社会责任指标。</w:t>
      </w:r>
    </w:p>
    <w:p>
      <w:pPr>
        <w:tabs>
          <w:tab w:val="left" w:pos="1980"/>
          <w:tab w:val="left" w:pos="7426"/>
        </w:tabs>
        <w:spacing w:line="360" w:lineRule="auto"/>
        <w:ind w:firstLine="640" w:firstLineChars="200"/>
        <w:rPr>
          <w:rFonts w:hint="eastAsia" w:ascii="黑体" w:hAnsi="Times New Roman" w:eastAsia="黑体" w:cs="Times New Roman"/>
          <w:sz w:val="32"/>
          <w:szCs w:val="32"/>
          <w:highlight w:val="none"/>
        </w:rPr>
      </w:pPr>
      <w:r>
        <w:rPr>
          <w:rFonts w:hint="eastAsia" w:ascii="黑体" w:hAnsi="Times New Roman" w:eastAsia="黑体" w:cs="Times New Roman"/>
          <w:sz w:val="32"/>
          <w:szCs w:val="32"/>
          <w:highlight w:val="none"/>
        </w:rPr>
        <w:t>七、超出原定薪酬方案的例外情况</w:t>
      </w:r>
    </w:p>
    <w:p>
      <w:pPr>
        <w:pStyle w:val="46"/>
        <w:spacing w:line="360" w:lineRule="auto"/>
        <w:ind w:left="720" w:firstLine="0" w:firstLineChars="0"/>
        <w:rPr>
          <w:rFonts w:hint="eastAsia" w:ascii="仿宋_GB2312" w:hAnsi="仿宋_GB2312" w:eastAsia="仿宋_GB2312" w:cs="仿宋_GB2312"/>
          <w:kern w:val="0"/>
          <w:sz w:val="32"/>
          <w:szCs w:val="32"/>
          <w:highlight w:val="none"/>
          <w:lang w:val="zh-CN" w:eastAsia="zh-CN" w:bidi="ar-SA"/>
        </w:rPr>
      </w:pPr>
      <w:r>
        <w:rPr>
          <w:rFonts w:hint="eastAsia" w:ascii="仿宋_GB2312" w:hAnsi="仿宋_GB2312" w:eastAsia="仿宋_GB2312" w:cs="仿宋_GB2312"/>
          <w:kern w:val="0"/>
          <w:sz w:val="32"/>
          <w:szCs w:val="32"/>
          <w:highlight w:val="none"/>
          <w:lang w:val="zh-CN" w:eastAsia="zh-CN" w:bidi="ar-SA"/>
        </w:rPr>
        <w:t>本行不存在超出原定薪酬方案的例外情况。</w:t>
      </w:r>
    </w:p>
    <w:p>
      <w:pPr>
        <w:rPr>
          <w:rFonts w:hint="eastAsia" w:ascii="方正小标宋_GBK" w:hAnsi="方正小标宋_GBK" w:eastAsia="方正小标宋_GBK" w:cs="方正小标宋_GBK"/>
          <w:b w:val="0"/>
          <w:bCs w:val="0"/>
          <w:sz w:val="36"/>
          <w:szCs w:val="36"/>
          <w:highlight w:val="none"/>
          <w:lang w:val="en-US" w:eastAsia="zh-CN"/>
        </w:rPr>
      </w:pPr>
      <w:bookmarkStart w:id="34" w:name="_Toc2798"/>
      <w:bookmarkStart w:id="35" w:name="_Toc17910"/>
      <w:bookmarkStart w:id="36" w:name="_Toc8080"/>
      <w:bookmarkStart w:id="37" w:name="_Toc8483"/>
    </w:p>
    <w:p>
      <w:pPr>
        <w:jc w:val="center"/>
        <w:rPr>
          <w:rFonts w:hint="eastAsia"/>
          <w:highlight w:val="none"/>
          <w:lang w:val="en-US" w:eastAsia="zh-CN"/>
        </w:rPr>
      </w:pPr>
      <w:r>
        <w:rPr>
          <w:rFonts w:hint="eastAsia" w:ascii="方正小标宋_GBK" w:hAnsi="方正小标宋_GBK" w:eastAsia="方正小标宋_GBK" w:cs="方正小标宋_GBK"/>
          <w:b w:val="0"/>
          <w:bCs w:val="0"/>
          <w:sz w:val="36"/>
          <w:szCs w:val="36"/>
          <w:highlight w:val="none"/>
          <w:lang w:val="en-US" w:eastAsia="zh-CN"/>
        </w:rPr>
        <w:t>第八节 消费者权益工作情况</w:t>
      </w:r>
      <w:bookmarkEnd w:id="34"/>
      <w:bookmarkEnd w:id="35"/>
      <w:bookmarkEnd w:id="36"/>
      <w:bookmarkEnd w:id="37"/>
    </w:p>
    <w:p>
      <w:pPr>
        <w:numPr>
          <w:ilvl w:val="0"/>
          <w:numId w:val="0"/>
        </w:numPr>
        <w:rPr>
          <w:rFonts w:hint="eastAsia"/>
          <w:highlight w:val="none"/>
          <w:lang w:val="en-US" w:eastAsia="zh-CN"/>
        </w:rPr>
      </w:pPr>
    </w:p>
    <w:p>
      <w:pPr>
        <w:spacing w:line="360" w:lineRule="auto"/>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202</w:t>
      </w: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rPr>
        <w:t>年，本行严格贯彻落实《中华人民共和国消费者权益保护法》《银行保险机构消费者权益保护管理办法》的规定，积极推进消费者权益保护的各项工作。</w:t>
      </w:r>
    </w:p>
    <w:p>
      <w:pPr>
        <w:numPr>
          <w:ilvl w:val="0"/>
          <w:numId w:val="5"/>
        </w:numPr>
        <w:spacing w:line="360" w:lineRule="auto"/>
        <w:ind w:firstLine="6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聚焦重点时段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开展多样化宣传普及金融知识。为从源头防范各种骗局的有效手段，本行认真贯彻落实消费者权益保护政策法规，结合金融热点问题，主动适应不同消费群体的个性化金融知识需求，坚持点面结合，持续开展常态化教育宣传。线上通过微信公众号将金融知识传递到消费者指尖；线下积极组织金融知识进社区、进校园、进乡村、进企业、进商圈等宣传活动，关爱“一老一少”、扶持助力乡村振兴；在网点阵地开设“金融知识小课堂”通过通俗易懂的语言、生动形象的案例，向客户普及安全支付知识，介绍电信网络诈骗的常见手段、典型案例及预防措施，解读买卖账户对个人及社会的危害。截止2025年12月末，本行共开展89次金融知识宣传活动，进一步提高了广大群众的风险防范意识，有效增强了金融消费者获得感、幸福感和安全感，营造了良好的金融环境。</w:t>
      </w:r>
    </w:p>
    <w:p>
      <w:pPr>
        <w:numPr>
          <w:ilvl w:val="0"/>
          <w:numId w:val="0"/>
        </w:num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（二）积极开展员工培训，加强规范化服务管理。</w:t>
      </w:r>
      <w:r>
        <w:rPr>
          <w:rFonts w:hint="eastAsia" w:ascii="仿宋_GB2312" w:hAnsi="仿宋_GB2312" w:eastAsia="仿宋_GB2312" w:cs="仿宋_GB2312"/>
          <w:color w:val="auto"/>
          <w:sz w:val="32"/>
          <w:szCs w:val="32"/>
          <w:highlight w:val="none"/>
          <w:lang w:val="en-US" w:eastAsia="zh-CN"/>
        </w:rPr>
        <w:t>为切实加强消费者权益保护工作，持续提升员工消费者权益保护意识，本行积极组织各条线人员开展一系列消费者权益保护专题培训。一是本行</w:t>
      </w:r>
      <w:r>
        <w:rPr>
          <w:rFonts w:hint="eastAsia" w:ascii="仿宋_GB2312" w:hAnsi="仿宋_GB2312" w:eastAsia="仿宋_GB2312" w:cs="仿宋_GB2312"/>
          <w:color w:val="auto"/>
          <w:sz w:val="32"/>
          <w:szCs w:val="32"/>
          <w:highlight w:val="none"/>
        </w:rPr>
        <w:t>通过广东农信线上学习平台，组织全体职工学习</w:t>
      </w:r>
      <w:r>
        <w:rPr>
          <w:rFonts w:hint="eastAsia" w:ascii="仿宋_GB2312" w:hAnsi="仿宋_GB2312" w:eastAsia="仿宋_GB2312" w:cs="仿宋_GB2312"/>
          <w:color w:val="auto"/>
          <w:sz w:val="32"/>
          <w:szCs w:val="32"/>
          <w:highlight w:val="none"/>
          <w:lang w:val="en-US" w:eastAsia="zh-CN"/>
        </w:rPr>
        <w:t>最新消保知识和监管处罚要点；二是邀请本行外聘法律顾问为员工对个人信息保护法进行解读。</w:t>
      </w:r>
      <w:r>
        <w:rPr>
          <w:rFonts w:hint="eastAsia" w:ascii="仿宋_GB2312" w:hAnsi="仿宋_GB2312" w:eastAsia="仿宋_GB2312" w:cs="仿宋_GB2312"/>
          <w:color w:val="auto"/>
          <w:sz w:val="32"/>
          <w:szCs w:val="32"/>
          <w:highlight w:val="none"/>
        </w:rPr>
        <w:t>使员工对金融消费者权益保护工作的监管要求和制度规定有了进一步的理解和认识，提升了综合能力和消费服务水平，强化了风险防范意识和服务意识，进一步提升全行消费者权益保护工作水平。</w:t>
      </w:r>
    </w:p>
    <w:p>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（三）加强投诉管理，化解矛盾纠纷。</w:t>
      </w:r>
      <w:r>
        <w:rPr>
          <w:rFonts w:hint="eastAsia" w:ascii="仿宋_GB2312" w:hAnsi="仿宋_GB2312" w:eastAsia="仿宋_GB2312" w:cs="仿宋_GB2312"/>
          <w:bCs/>
          <w:color w:val="auto"/>
          <w:sz w:val="32"/>
          <w:szCs w:val="32"/>
          <w:highlight w:val="none"/>
          <w:shd w:val="clear" w:color="auto" w:fill="FFFFFF"/>
        </w:rPr>
        <w:t>本行认真执行消费者权益保护相关政策，</w:t>
      </w:r>
      <w:r>
        <w:rPr>
          <w:rFonts w:hint="eastAsia" w:ascii="仿宋_GB2312" w:hAnsi="仿宋_GB2312" w:eastAsia="仿宋_GB2312" w:cs="仿宋_GB2312"/>
          <w:color w:val="auto"/>
          <w:sz w:val="32"/>
          <w:szCs w:val="32"/>
          <w:highlight w:val="none"/>
        </w:rPr>
        <w:t>每个营业网点、微信公众号在醒目位置均公布专用投诉电话，设置了投诉信箱、意见簿等，并公开网点投诉处理流程，确保消费者能够通过正规渠道保护自己的权益。截止202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年12月末，本行共收到金融消费者投诉</w:t>
      </w: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rPr>
        <w:t>笔。</w:t>
      </w:r>
    </w:p>
    <w:p>
      <w:pPr>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1.按投诉渠道分类。肇庆金融监管分局12378投诉热线转办工单</w:t>
      </w:r>
      <w:r>
        <w:rPr>
          <w:rFonts w:hint="eastAsia" w:ascii="仿宋_GB2312" w:hAnsi="仿宋_GB2312" w:eastAsia="仿宋_GB2312" w:cs="仿宋_GB2312"/>
          <w:bCs/>
          <w:color w:val="auto"/>
          <w:sz w:val="32"/>
          <w:szCs w:val="32"/>
          <w:highlight w:val="none"/>
          <w:lang w:val="en-US" w:eastAsia="zh-CN"/>
        </w:rPr>
        <w:t>10</w:t>
      </w:r>
      <w:r>
        <w:rPr>
          <w:rFonts w:hint="eastAsia" w:ascii="仿宋_GB2312" w:hAnsi="仿宋_GB2312" w:eastAsia="仿宋_GB2312" w:cs="仿宋_GB2312"/>
          <w:bCs/>
          <w:color w:val="auto"/>
          <w:sz w:val="32"/>
          <w:szCs w:val="32"/>
          <w:highlight w:val="none"/>
        </w:rPr>
        <w:t>件、金融消费者保护服务平台转办工单</w:t>
      </w:r>
      <w:r>
        <w:rPr>
          <w:rFonts w:hint="eastAsia" w:ascii="仿宋_GB2312" w:hAnsi="仿宋_GB2312" w:eastAsia="仿宋_GB2312" w:cs="仿宋_GB2312"/>
          <w:bCs/>
          <w:color w:val="auto"/>
          <w:sz w:val="32"/>
          <w:szCs w:val="32"/>
          <w:highlight w:val="none"/>
          <w:lang w:val="en-US" w:eastAsia="zh-CN"/>
        </w:rPr>
        <w:t>13</w:t>
      </w:r>
      <w:r>
        <w:rPr>
          <w:rFonts w:hint="eastAsia" w:ascii="仿宋_GB2312" w:hAnsi="仿宋_GB2312" w:eastAsia="仿宋_GB2312" w:cs="仿宋_GB2312"/>
          <w:bCs/>
          <w:color w:val="auto"/>
          <w:sz w:val="32"/>
          <w:szCs w:val="32"/>
          <w:highlight w:val="none"/>
        </w:rPr>
        <w:t>件、96138转办工单</w:t>
      </w: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件、正和消保中心数字化消保平台转办工单</w:t>
      </w:r>
      <w:r>
        <w:rPr>
          <w:rFonts w:hint="eastAsia" w:ascii="仿宋_GB2312" w:hAnsi="仿宋_GB2312" w:eastAsia="仿宋_GB2312" w:cs="仿宋_GB2312"/>
          <w:bCs/>
          <w:color w:val="auto"/>
          <w:sz w:val="32"/>
          <w:szCs w:val="32"/>
          <w:highlight w:val="none"/>
          <w:lang w:val="en-US" w:eastAsia="zh-CN"/>
        </w:rPr>
        <w:t>3</w:t>
      </w:r>
      <w:r>
        <w:rPr>
          <w:rFonts w:hint="eastAsia" w:ascii="仿宋_GB2312" w:hAnsi="仿宋_GB2312" w:eastAsia="仿宋_GB2312" w:cs="仿宋_GB2312"/>
          <w:bCs/>
          <w:color w:val="auto"/>
          <w:sz w:val="32"/>
          <w:szCs w:val="32"/>
          <w:highlight w:val="none"/>
        </w:rPr>
        <w:t>件，</w:t>
      </w:r>
      <w:r>
        <w:rPr>
          <w:rFonts w:hint="eastAsia" w:ascii="仿宋_GB2312" w:hAnsi="仿宋_GB2312" w:eastAsia="仿宋_GB2312" w:cs="仿宋_GB2312"/>
          <w:bCs/>
          <w:color w:val="auto"/>
          <w:sz w:val="32"/>
          <w:szCs w:val="32"/>
          <w:highlight w:val="none"/>
          <w:lang w:val="en-US" w:eastAsia="zh-CN"/>
        </w:rPr>
        <w:t>省联社法律合规部（安全保卫部）转发来的国家金融监督管理总局广东监管局转办工单2件。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2.按</w:t>
      </w:r>
      <w:r>
        <w:rPr>
          <w:rFonts w:hint="eastAsia" w:ascii="仿宋_GB2312" w:hAnsi="仿宋_GB2312" w:eastAsia="仿宋_GB2312" w:cs="仿宋_GB2312"/>
          <w:bCs/>
          <w:color w:val="auto"/>
          <w:sz w:val="32"/>
          <w:szCs w:val="32"/>
          <w:highlight w:val="none"/>
        </w:rPr>
        <w:t>投诉业务类别分类。</w:t>
      </w:r>
      <w:r>
        <w:rPr>
          <w:rFonts w:hint="eastAsia" w:ascii="仿宋_GB2312" w:hAnsi="仿宋_GB2312" w:eastAsia="仿宋_GB2312" w:cs="仿宋_GB2312"/>
          <w:bCs/>
          <w:color w:val="auto"/>
          <w:sz w:val="32"/>
          <w:szCs w:val="32"/>
          <w:highlight w:val="none"/>
          <w:lang w:val="en-US" w:eastAsia="zh-CN"/>
        </w:rPr>
        <w:t>账户限额方面的投诉9件，占总投诉量的30%，此为投诉高发领域，主要涉及账户限额和账户冻结等问题；贷款业务方面的投诉8件，占总投诉量的26.67%，主要涉及提前还款收取违约金、还款规则、逾期征信记录等问题；股金业务方面的投诉3件，占总投诉量的10%，主要涉及股金继承及退股等问题；借记卡方面的投诉5件，占总投诉量的13.33%，主要涉及银行卡年费收取的问题；支付结算方面投诉1件，占总投诉量的3.33%，主要涉及跨行汇兑业务收取手续费的问题；其他方面的投诉1件，占总投诉量的6.67%，主要涉及短信业务的问题；人民币储蓄方面的投诉3件，占总投诉量的10%，主要涉及员工服务态度的问题。</w:t>
      </w:r>
    </w:p>
    <w:p>
      <w:pPr>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xml:space="preserve"> 3.按</w:t>
      </w:r>
      <w:r>
        <w:rPr>
          <w:rFonts w:hint="eastAsia" w:ascii="仿宋_GB2312" w:hAnsi="仿宋_GB2312" w:eastAsia="仿宋_GB2312" w:cs="仿宋_GB2312"/>
          <w:color w:val="auto"/>
          <w:kern w:val="0"/>
          <w:sz w:val="32"/>
          <w:szCs w:val="32"/>
          <w:highlight w:val="none"/>
          <w:shd w:val="clear" w:color="auto" w:fill="FFFFFF"/>
          <w:lang w:bidi="ar"/>
        </w:rPr>
        <w:t>投诉地区分布。从投诉区域分布看，金融消费者投诉主要集中在县域网点。对总行投诉</w:t>
      </w:r>
      <w:r>
        <w:rPr>
          <w:rFonts w:hint="eastAsia" w:ascii="仿宋_GB2312" w:hAnsi="仿宋_GB2312" w:eastAsia="仿宋_GB2312" w:cs="仿宋_GB2312"/>
          <w:color w:val="auto"/>
          <w:kern w:val="0"/>
          <w:sz w:val="32"/>
          <w:szCs w:val="32"/>
          <w:highlight w:val="none"/>
          <w:shd w:val="clear" w:color="auto" w:fill="FFFFFF"/>
          <w:lang w:val="en-US" w:eastAsia="zh-CN" w:bidi="ar"/>
        </w:rPr>
        <w:t>4</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13.3</w:t>
      </w:r>
      <w:r>
        <w:rPr>
          <w:rFonts w:hint="eastAsia" w:ascii="仿宋_GB2312" w:hAnsi="仿宋_GB2312" w:eastAsia="仿宋_GB2312" w:cs="仿宋_GB2312"/>
          <w:color w:val="auto"/>
          <w:kern w:val="0"/>
          <w:sz w:val="32"/>
          <w:szCs w:val="32"/>
          <w:highlight w:val="none"/>
          <w:shd w:val="clear" w:color="auto" w:fill="FFFFFF"/>
          <w:lang w:bidi="ar"/>
        </w:rPr>
        <w:t>%；营业部</w:t>
      </w:r>
      <w:r>
        <w:rPr>
          <w:rFonts w:hint="eastAsia" w:ascii="仿宋_GB2312" w:hAnsi="仿宋_GB2312" w:eastAsia="仿宋_GB2312" w:cs="仿宋_GB2312"/>
          <w:color w:val="auto"/>
          <w:kern w:val="0"/>
          <w:sz w:val="32"/>
          <w:szCs w:val="32"/>
          <w:highlight w:val="none"/>
          <w:shd w:val="clear" w:color="auto" w:fill="FFFFFF"/>
          <w:lang w:val="en-US" w:eastAsia="zh-CN" w:bidi="ar"/>
        </w:rPr>
        <w:t>4</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13.3</w:t>
      </w:r>
      <w:r>
        <w:rPr>
          <w:rFonts w:hint="eastAsia" w:ascii="仿宋_GB2312" w:hAnsi="仿宋_GB2312" w:eastAsia="仿宋_GB2312" w:cs="仿宋_GB2312"/>
          <w:color w:val="auto"/>
          <w:kern w:val="0"/>
          <w:sz w:val="32"/>
          <w:szCs w:val="32"/>
          <w:highlight w:val="none"/>
          <w:shd w:val="clear" w:color="auto" w:fill="FFFFFF"/>
          <w:lang w:bidi="ar"/>
        </w:rPr>
        <w:t>%；南街支行</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10</w:t>
      </w:r>
      <w:r>
        <w:rPr>
          <w:rFonts w:hint="eastAsia" w:ascii="仿宋_GB2312" w:hAnsi="仿宋_GB2312" w:eastAsia="仿宋_GB2312" w:cs="仿宋_GB2312"/>
          <w:color w:val="auto"/>
          <w:kern w:val="0"/>
          <w:sz w:val="32"/>
          <w:szCs w:val="32"/>
          <w:highlight w:val="none"/>
          <w:shd w:val="clear" w:color="auto" w:fill="FFFFFF"/>
          <w:lang w:bidi="ar"/>
        </w:rPr>
        <w:t>%；广玉支行</w:t>
      </w:r>
      <w:r>
        <w:rPr>
          <w:rFonts w:hint="eastAsia" w:ascii="仿宋_GB2312" w:hAnsi="仿宋_GB2312" w:eastAsia="仿宋_GB2312" w:cs="仿宋_GB2312"/>
          <w:color w:val="auto"/>
          <w:kern w:val="0"/>
          <w:sz w:val="32"/>
          <w:szCs w:val="32"/>
          <w:highlight w:val="none"/>
          <w:shd w:val="clear" w:color="auto" w:fill="FFFFFF"/>
          <w:lang w:val="en-US" w:eastAsia="zh-CN" w:bidi="ar"/>
        </w:rPr>
        <w:t>7</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23.3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南坤支行2件，</w:t>
      </w:r>
      <w:r>
        <w:rPr>
          <w:rFonts w:hint="eastAsia" w:ascii="仿宋_GB2312" w:hAnsi="仿宋_GB2312" w:eastAsia="仿宋_GB2312" w:cs="仿宋_GB2312"/>
          <w:color w:val="auto"/>
          <w:kern w:val="0"/>
          <w:sz w:val="32"/>
          <w:szCs w:val="32"/>
          <w:highlight w:val="none"/>
          <w:shd w:val="clear" w:color="auto" w:fill="FFFFFF"/>
          <w:lang w:bidi="ar"/>
        </w:rPr>
        <w:t>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6.7</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eastAsia="zh-CN"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横山</w:t>
      </w:r>
      <w:r>
        <w:rPr>
          <w:rFonts w:hint="eastAsia" w:ascii="仿宋_GB2312" w:hAnsi="仿宋_GB2312" w:eastAsia="仿宋_GB2312" w:cs="仿宋_GB2312"/>
          <w:color w:val="auto"/>
          <w:kern w:val="0"/>
          <w:sz w:val="32"/>
          <w:szCs w:val="32"/>
          <w:highlight w:val="none"/>
          <w:shd w:val="clear" w:color="auto" w:fill="FFFFFF"/>
          <w:lang w:bidi="ar"/>
        </w:rPr>
        <w:t>支行</w:t>
      </w:r>
      <w:r>
        <w:rPr>
          <w:rFonts w:hint="eastAsia" w:ascii="仿宋_GB2312" w:hAnsi="仿宋_GB2312" w:eastAsia="仿宋_GB2312" w:cs="仿宋_GB2312"/>
          <w:color w:val="auto"/>
          <w:kern w:val="0"/>
          <w:sz w:val="32"/>
          <w:szCs w:val="32"/>
          <w:highlight w:val="none"/>
          <w:shd w:val="clear" w:color="auto" w:fill="FFFFFF"/>
          <w:lang w:val="en-US" w:eastAsia="zh-CN" w:bidi="ar"/>
        </w:rPr>
        <w:t>2</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6.7</w:t>
      </w:r>
      <w:r>
        <w:rPr>
          <w:rFonts w:hint="eastAsia" w:ascii="仿宋_GB2312" w:hAnsi="仿宋_GB2312" w:eastAsia="仿宋_GB2312" w:cs="仿宋_GB2312"/>
          <w:color w:val="auto"/>
          <w:kern w:val="0"/>
          <w:sz w:val="32"/>
          <w:szCs w:val="32"/>
          <w:highlight w:val="none"/>
          <w:shd w:val="clear" w:color="auto" w:fill="FFFFFF"/>
          <w:lang w:bidi="ar"/>
        </w:rPr>
        <w:t>%；中华东支行</w:t>
      </w:r>
      <w:r>
        <w:rPr>
          <w:rFonts w:hint="eastAsia" w:ascii="仿宋_GB2312" w:hAnsi="仿宋_GB2312" w:eastAsia="仿宋_GB2312" w:cs="仿宋_GB2312"/>
          <w:color w:val="auto"/>
          <w:kern w:val="0"/>
          <w:sz w:val="32"/>
          <w:szCs w:val="32"/>
          <w:highlight w:val="none"/>
          <w:shd w:val="clear" w:color="auto" w:fill="FFFFFF"/>
          <w:lang w:val="en-US" w:eastAsia="zh-CN" w:bidi="ar"/>
        </w:rPr>
        <w:t>1</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3.3</w:t>
      </w:r>
      <w:r>
        <w:rPr>
          <w:rFonts w:hint="eastAsia" w:ascii="仿宋_GB2312" w:hAnsi="仿宋_GB2312" w:eastAsia="仿宋_GB2312" w:cs="仿宋_GB2312"/>
          <w:color w:val="auto"/>
          <w:kern w:val="0"/>
          <w:sz w:val="32"/>
          <w:szCs w:val="32"/>
          <w:highlight w:val="none"/>
          <w:shd w:val="clear" w:color="auto" w:fill="FFFFFF"/>
          <w:lang w:bidi="ar"/>
        </w:rPr>
        <w:t>%；宾亨支行</w:t>
      </w:r>
      <w:r>
        <w:rPr>
          <w:rFonts w:hint="eastAsia" w:ascii="仿宋_GB2312" w:hAnsi="仿宋_GB2312" w:eastAsia="仿宋_GB2312" w:cs="仿宋_GB2312"/>
          <w:color w:val="auto"/>
          <w:kern w:val="0"/>
          <w:sz w:val="32"/>
          <w:szCs w:val="32"/>
          <w:highlight w:val="none"/>
          <w:shd w:val="clear" w:color="auto" w:fill="FFFFFF"/>
          <w:lang w:val="en-US" w:eastAsia="zh-CN" w:bidi="ar"/>
        </w:rPr>
        <w:t>1</w:t>
      </w:r>
      <w:r>
        <w:rPr>
          <w:rFonts w:hint="eastAsia" w:ascii="仿宋_GB2312" w:hAnsi="仿宋_GB2312" w:eastAsia="仿宋_GB2312" w:cs="仿宋_GB2312"/>
          <w:color w:val="auto"/>
          <w:kern w:val="0"/>
          <w:sz w:val="32"/>
          <w:szCs w:val="32"/>
          <w:highlight w:val="none"/>
          <w:shd w:val="clear" w:color="auto" w:fill="FFFFFF"/>
          <w:lang w:bidi="ar"/>
        </w:rPr>
        <w:t>件，占总投诉量</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%；石</w:t>
      </w:r>
      <w:r>
        <w:rPr>
          <w:rFonts w:hint="eastAsia" w:ascii="仿宋_GB2312" w:hAnsi="仿宋_GB2312" w:eastAsia="仿宋_GB2312" w:cs="仿宋_GB2312"/>
          <w:color w:val="auto"/>
          <w:kern w:val="0"/>
          <w:sz w:val="32"/>
          <w:szCs w:val="32"/>
          <w:highlight w:val="none"/>
          <w:shd w:val="clear" w:color="auto" w:fill="FFFFFF"/>
          <w:lang w:val="en-US" w:eastAsia="zh-CN" w:bidi="ar"/>
        </w:rPr>
        <w:t>咀</w:t>
      </w:r>
      <w:r>
        <w:rPr>
          <w:rFonts w:hint="eastAsia" w:ascii="仿宋_GB2312" w:hAnsi="仿宋_GB2312" w:eastAsia="仿宋_GB2312" w:cs="仿宋_GB2312"/>
          <w:color w:val="auto"/>
          <w:kern w:val="0"/>
          <w:sz w:val="32"/>
          <w:szCs w:val="32"/>
          <w:highlight w:val="none"/>
          <w:shd w:val="clear" w:color="auto" w:fill="FFFFFF"/>
          <w:lang w:bidi="ar"/>
        </w:rPr>
        <w:t>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洲仔</w:t>
      </w:r>
      <w:r>
        <w:rPr>
          <w:rFonts w:hint="eastAsia" w:ascii="仿宋_GB2312" w:hAnsi="仿宋_GB2312" w:eastAsia="仿宋_GB2312" w:cs="仿宋_GB2312"/>
          <w:color w:val="auto"/>
          <w:kern w:val="0"/>
          <w:sz w:val="32"/>
          <w:szCs w:val="32"/>
          <w:highlight w:val="none"/>
          <w:shd w:val="clear" w:color="auto" w:fill="FFFFFF"/>
          <w:lang w:bidi="ar"/>
        </w:rPr>
        <w:t>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潭布</w:t>
      </w:r>
      <w:r>
        <w:rPr>
          <w:rFonts w:hint="eastAsia" w:ascii="仿宋_GB2312" w:hAnsi="仿宋_GB2312" w:eastAsia="仿宋_GB2312" w:cs="仿宋_GB2312"/>
          <w:color w:val="auto"/>
          <w:kern w:val="0"/>
          <w:sz w:val="32"/>
          <w:szCs w:val="32"/>
          <w:highlight w:val="none"/>
          <w:shd w:val="clear" w:color="auto" w:fill="FFFFFF"/>
          <w:lang w:bidi="ar"/>
        </w:rPr>
        <w:t>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%；排沙支行1件，占总投诉量3.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eastAsia="zh-CN"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五和</w:t>
      </w:r>
      <w:r>
        <w:rPr>
          <w:rFonts w:hint="eastAsia" w:ascii="仿宋_GB2312" w:hAnsi="仿宋_GB2312" w:eastAsia="仿宋_GB2312" w:cs="仿宋_GB2312"/>
          <w:color w:val="auto"/>
          <w:kern w:val="0"/>
          <w:sz w:val="32"/>
          <w:szCs w:val="32"/>
          <w:highlight w:val="none"/>
          <w:shd w:val="clear" w:color="auto" w:fill="FFFFFF"/>
          <w:lang w:bidi="ar"/>
        </w:rPr>
        <w:t>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eastAsia="zh-CN" w:bidi="ar"/>
        </w:rPr>
        <w:t>；</w:t>
      </w:r>
      <w:r>
        <w:rPr>
          <w:rFonts w:hint="eastAsia" w:ascii="仿宋_GB2312" w:hAnsi="仿宋_GB2312" w:eastAsia="仿宋_GB2312" w:cs="仿宋_GB2312"/>
          <w:color w:val="auto"/>
          <w:kern w:val="0"/>
          <w:sz w:val="32"/>
          <w:szCs w:val="32"/>
          <w:highlight w:val="none"/>
          <w:shd w:val="clear" w:color="auto" w:fill="FFFFFF"/>
          <w:lang w:val="en-US" w:eastAsia="zh-CN" w:bidi="ar"/>
        </w:rPr>
        <w:t>古水</w:t>
      </w:r>
      <w:r>
        <w:rPr>
          <w:rFonts w:hint="eastAsia" w:ascii="仿宋_GB2312" w:hAnsi="仿宋_GB2312" w:eastAsia="仿宋_GB2312" w:cs="仿宋_GB2312"/>
          <w:color w:val="auto"/>
          <w:kern w:val="0"/>
          <w:sz w:val="32"/>
          <w:szCs w:val="32"/>
          <w:highlight w:val="none"/>
          <w:shd w:val="clear" w:color="auto" w:fill="FFFFFF"/>
          <w:lang w:bidi="ar"/>
        </w:rPr>
        <w:t>支行1件，占总投诉量3.</w:t>
      </w:r>
      <w:r>
        <w:rPr>
          <w:rFonts w:hint="eastAsia" w:ascii="仿宋_GB2312" w:hAnsi="仿宋_GB2312" w:eastAsia="仿宋_GB2312" w:cs="仿宋_GB2312"/>
          <w:color w:val="auto"/>
          <w:kern w:val="0"/>
          <w:sz w:val="32"/>
          <w:szCs w:val="32"/>
          <w:highlight w:val="none"/>
          <w:shd w:val="clear" w:color="auto" w:fill="FFFFFF"/>
          <w:lang w:val="en-US" w:eastAsia="zh-CN" w:bidi="ar"/>
        </w:rPr>
        <w:t>3</w:t>
      </w:r>
      <w:r>
        <w:rPr>
          <w:rFonts w:hint="eastAsia" w:ascii="仿宋_GB2312" w:hAnsi="仿宋_GB2312" w:eastAsia="仿宋_GB2312" w:cs="仿宋_GB2312"/>
          <w:color w:val="auto"/>
          <w:kern w:val="0"/>
          <w:sz w:val="32"/>
          <w:szCs w:val="32"/>
          <w:highlight w:val="none"/>
          <w:shd w:val="clear" w:color="auto" w:fill="FFFFFF"/>
          <w:lang w:bidi="ar"/>
        </w:rPr>
        <w:t>%</w:t>
      </w:r>
      <w:r>
        <w:rPr>
          <w:rFonts w:hint="eastAsia" w:ascii="仿宋_GB2312" w:hAnsi="仿宋_GB2312" w:eastAsia="仿宋_GB2312" w:cs="仿宋_GB2312"/>
          <w:color w:val="auto"/>
          <w:kern w:val="0"/>
          <w:sz w:val="32"/>
          <w:szCs w:val="32"/>
          <w:highlight w:val="none"/>
          <w:shd w:val="clear" w:color="auto" w:fill="FFFFFF"/>
          <w:lang w:eastAsia="zh-CN" w:bidi="ar"/>
        </w:rPr>
        <w:t>。</w:t>
      </w:r>
    </w:p>
    <w:p>
      <w:pPr>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年本行所接收</w:t>
      </w:r>
      <w:r>
        <w:rPr>
          <w:rFonts w:hint="eastAsia" w:ascii="仿宋_GB2312" w:hAnsi="仿宋_GB2312" w:eastAsia="仿宋_GB2312" w:cs="仿宋_GB2312"/>
          <w:color w:val="auto"/>
          <w:kern w:val="0"/>
          <w:sz w:val="32"/>
          <w:szCs w:val="32"/>
          <w:highlight w:val="none"/>
          <w:shd w:val="clear" w:color="auto" w:fill="FFFFFF"/>
          <w:lang w:bidi="ar"/>
        </w:rPr>
        <w:t>金融消费者投诉</w:t>
      </w:r>
      <w:r>
        <w:rPr>
          <w:rFonts w:hint="eastAsia" w:ascii="仿宋_GB2312" w:hAnsi="仿宋_GB2312" w:eastAsia="仿宋_GB2312" w:cs="仿宋_GB2312"/>
          <w:color w:val="auto"/>
          <w:sz w:val="32"/>
          <w:szCs w:val="32"/>
          <w:highlight w:val="none"/>
        </w:rPr>
        <w:t>均在规定时限内妥善完成处理，取得客户满意。并建立消费者投诉台账，做好登记及时反馈处理情况。同时，认真做好客户投诉动态监测和分析报告，对客户投诉问题进行深入梳理。</w:t>
      </w:r>
    </w:p>
    <w:p>
      <w:pPr>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（四）强化消保检查，推动消保工作提质增效</w:t>
      </w:r>
    </w:p>
    <w:p>
      <w:pPr>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2025年我行组织开展消费者权益保护检查，对辖内24个支行和相关部门开展专项检查，对各支行的消保工作、消费者个人信息保护及客户投诉管理、常态化集中宣教等工作开展情况进行了全面摸底。针对检查发现的问题，建立台账、明确责任、限期整改，持续补齐消保工作短板，不断提升消保管理质效。</w:t>
      </w:r>
    </w:p>
    <w:p>
      <w:pPr>
        <w:rPr>
          <w:rFonts w:hint="eastAsia" w:ascii="方正小标宋_GBK" w:hAnsi="方正小标宋_GBK" w:eastAsia="方正小标宋_GBK" w:cs="方正小标宋_GBK"/>
          <w:b w:val="0"/>
          <w:bCs w:val="0"/>
          <w:kern w:val="2"/>
          <w:sz w:val="36"/>
          <w:szCs w:val="36"/>
          <w:highlight w:val="none"/>
          <w:lang w:val="en-US" w:eastAsia="zh-CN" w:bidi="ar-SA"/>
        </w:rPr>
      </w:pPr>
    </w:p>
    <w:p>
      <w:pPr>
        <w:pStyle w:val="4"/>
        <w:numPr>
          <w:ilvl w:val="0"/>
          <w:numId w:val="0"/>
        </w:numPr>
        <w:spacing w:line="360" w:lineRule="auto"/>
        <w:ind w:leftChars="0"/>
        <w:jc w:val="center"/>
        <w:rPr>
          <w:rFonts w:hint="eastAsia" w:ascii="方正小标宋_GBK" w:hAnsi="方正小标宋_GBK" w:eastAsia="方正小标宋_GBK" w:cs="方正小标宋_GBK"/>
          <w:b w:val="0"/>
          <w:bCs w:val="0"/>
          <w:kern w:val="2"/>
          <w:sz w:val="36"/>
          <w:szCs w:val="36"/>
          <w:highlight w:val="none"/>
          <w:lang w:val="en-US" w:eastAsia="zh-CN" w:bidi="ar-SA"/>
        </w:rPr>
      </w:pPr>
      <w:r>
        <w:rPr>
          <w:rFonts w:hint="eastAsia" w:ascii="方正小标宋_GBK" w:hAnsi="方正小标宋_GBK" w:eastAsia="方正小标宋_GBK" w:cs="方正小标宋_GBK"/>
          <w:b w:val="0"/>
          <w:bCs w:val="0"/>
          <w:kern w:val="2"/>
          <w:sz w:val="36"/>
          <w:szCs w:val="36"/>
          <w:highlight w:val="none"/>
          <w:lang w:val="en-US" w:eastAsia="zh-CN" w:bidi="ar-SA"/>
        </w:rPr>
        <w:t>第九节 金融服务情况</w:t>
      </w:r>
    </w:p>
    <w:p>
      <w:pPr>
        <w:pStyle w:val="4"/>
        <w:numPr>
          <w:ilvl w:val="0"/>
          <w:numId w:val="0"/>
        </w:numPr>
        <w:ind w:leftChars="0"/>
        <w:jc w:val="both"/>
        <w:rPr>
          <w:rFonts w:hint="eastAsia" w:ascii="Cambria" w:hAnsi="Cambria" w:eastAsia="宋体" w:cs="Times New Roman"/>
          <w:b/>
          <w:bCs/>
          <w:kern w:val="2"/>
          <w:sz w:val="32"/>
          <w:szCs w:val="32"/>
          <w:highlight w:val="none"/>
          <w:lang w:val="en-US" w:eastAsia="zh-CN" w:bidi="ar-SA"/>
        </w:rPr>
      </w:pPr>
    </w:p>
    <w:p>
      <w:pPr>
        <w:pStyle w:val="4"/>
        <w:numPr>
          <w:ilvl w:val="0"/>
          <w:numId w:val="0"/>
        </w:numPr>
        <w:spacing w:line="360" w:lineRule="auto"/>
        <w:ind w:firstLine="640" w:firstLineChars="200"/>
        <w:jc w:val="both"/>
        <w:rPr>
          <w:rFonts w:hint="eastAsia" w:ascii="黑体" w:hAnsi="Times New Roman" w:eastAsia="黑体" w:cs="Times New Roman"/>
          <w:kern w:val="2"/>
          <w:sz w:val="32"/>
          <w:szCs w:val="32"/>
          <w:highlight w:val="none"/>
          <w:lang w:val="en-US" w:eastAsia="zh-CN" w:bidi="ar-SA"/>
        </w:rPr>
      </w:pPr>
      <w:r>
        <w:rPr>
          <w:rFonts w:hint="eastAsia" w:ascii="黑体" w:hAnsi="Times New Roman" w:eastAsia="黑体" w:cs="Times New Roman"/>
          <w:kern w:val="2"/>
          <w:sz w:val="32"/>
          <w:szCs w:val="32"/>
          <w:highlight w:val="none"/>
          <w:lang w:val="en-US" w:eastAsia="zh-CN" w:bidi="ar-SA"/>
        </w:rPr>
        <w:t>一、“三农”金融服务情况</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行在“三农”金融服务机制建设和执行工作中认真贯彻落实《中国银监会办公厅关于加强农村商业银行三农金融服务机制建设监管指引的通知》（银监发〔2014〕287号）（下称“指引”）的相关监管要求，认真做好三农金融服务工作。</w:t>
      </w:r>
    </w:p>
    <w:p>
      <w:pPr>
        <w:pStyle w:val="4"/>
        <w:numPr>
          <w:ilvl w:val="0"/>
          <w:numId w:val="0"/>
        </w:numPr>
        <w:spacing w:line="360" w:lineRule="auto"/>
        <w:ind w:firstLine="640" w:firstLineChars="200"/>
        <w:jc w:val="both"/>
        <w:rPr>
          <w:rFonts w:hint="eastAsia" w:ascii="华文楷体" w:hAnsi="华文楷体" w:eastAsia="华文楷体" w:cs="Tahoma"/>
          <w:sz w:val="32"/>
          <w:szCs w:val="32"/>
          <w:highlight w:val="none"/>
          <w:lang w:eastAsia="zh-CN"/>
        </w:rPr>
      </w:pPr>
      <w:r>
        <w:rPr>
          <w:rFonts w:hint="eastAsia" w:ascii="方正楷体_GBK" w:hAnsi="方正楷体_GBK" w:eastAsia="方正楷体_GBK" w:cs="方正楷体_GBK"/>
          <w:kern w:val="2"/>
          <w:sz w:val="32"/>
          <w:szCs w:val="32"/>
          <w:highlight w:val="none"/>
          <w:lang w:val="en-US" w:eastAsia="zh-CN" w:bidi="ar-SA"/>
        </w:rPr>
        <w:t>（一）公司治理方面</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按照指引要求，本行成立了由董事长任主任委员的三农委员会，主要负责制定三农金融服务发展战略和规划，审议202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年度支持“三农”和小微企业实施情况及202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工作计划，评价与督促经营层认真贯彻落实等。三农委员会要求每半年至少召开一次会议，会议要求邀请涉农企业、农民合作社、种养大户、家庭农场等新型农业经营主体的客户代表参加，就三农金融业务开展情况、存在问题和下一步发展战略措施等提出意见和建议。</w:t>
      </w:r>
    </w:p>
    <w:p>
      <w:pPr>
        <w:pStyle w:val="4"/>
        <w:numPr>
          <w:ilvl w:val="0"/>
          <w:numId w:val="0"/>
        </w:numPr>
        <w:spacing w:line="360" w:lineRule="auto"/>
        <w:ind w:firstLine="640" w:firstLineChars="200"/>
        <w:jc w:val="both"/>
        <w:rPr>
          <w:rFonts w:ascii="华文楷体" w:hAnsi="华文楷体" w:eastAsia="华文楷体" w:cs="Tahoma"/>
          <w:color w:val="auto"/>
          <w:sz w:val="32"/>
          <w:szCs w:val="32"/>
          <w:highlight w:val="none"/>
        </w:rPr>
      </w:pPr>
      <w:r>
        <w:rPr>
          <w:rFonts w:hint="eastAsia" w:ascii="方正楷体_GBK" w:hAnsi="方正楷体_GBK" w:eastAsia="方正楷体_GBK" w:cs="方正楷体_GBK"/>
          <w:kern w:val="2"/>
          <w:sz w:val="32"/>
          <w:szCs w:val="32"/>
          <w:highlight w:val="none"/>
          <w:lang w:val="en-US" w:eastAsia="zh-CN" w:bidi="ar-SA"/>
        </w:rPr>
        <w:t>（二）发展战略方面</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本行制定了《广东广宁农村商业银行股份有限公司三年战略发展规划（202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对“三农”金融服务工作作出了战略安排，针对性地制定“三农”业务的客户、产品、渠道、营销等策略，大力推进制度创新和业务创新，打造了高效的组织架构、适用的风险管理系统、较为完善的制度体系和管理流程。为确保战略的实施，截至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年12月末，本行配备了</w:t>
      </w:r>
      <w:r>
        <w:rPr>
          <w:rFonts w:hint="eastAsia" w:ascii="仿宋_GB2312" w:hAnsi="仿宋_GB2312" w:eastAsia="仿宋_GB2312" w:cs="仿宋_GB2312"/>
          <w:sz w:val="32"/>
          <w:szCs w:val="32"/>
          <w:highlight w:val="none"/>
          <w:lang w:val="en-US" w:eastAsia="zh-CN"/>
        </w:rPr>
        <w:t>123</w:t>
      </w:r>
      <w:r>
        <w:rPr>
          <w:rFonts w:hint="eastAsia" w:ascii="仿宋_GB2312" w:hAnsi="仿宋_GB2312" w:eastAsia="仿宋_GB2312" w:cs="仿宋_GB2312"/>
          <w:sz w:val="32"/>
          <w:szCs w:val="32"/>
          <w:highlight w:val="none"/>
        </w:rPr>
        <w:t>名</w:t>
      </w:r>
      <w:r>
        <w:rPr>
          <w:rFonts w:hint="eastAsia" w:ascii="仿宋_GB2312" w:hAnsi="仿宋_GB2312" w:eastAsia="仿宋_GB2312" w:cs="仿宋_GB2312"/>
          <w:sz w:val="32"/>
          <w:szCs w:val="32"/>
          <w:highlight w:val="none"/>
          <w:lang w:val="en-US" w:eastAsia="zh-CN"/>
        </w:rPr>
        <w:t>信贷客户经理</w:t>
      </w:r>
      <w:r>
        <w:rPr>
          <w:rFonts w:hint="eastAsia" w:ascii="仿宋_GB2312" w:hAnsi="仿宋_GB2312" w:eastAsia="仿宋_GB2312" w:cs="仿宋_GB2312"/>
          <w:sz w:val="32"/>
          <w:szCs w:val="32"/>
          <w:highlight w:val="none"/>
        </w:rPr>
        <w:t>，占全体员工人数的</w:t>
      </w:r>
      <w:r>
        <w:rPr>
          <w:rFonts w:hint="eastAsia" w:ascii="仿宋_GB2312" w:hAnsi="仿宋_GB2312" w:eastAsia="仿宋_GB2312" w:cs="仿宋_GB2312"/>
          <w:sz w:val="32"/>
          <w:szCs w:val="32"/>
          <w:highlight w:val="none"/>
          <w:lang w:val="en-US" w:eastAsia="zh-CN"/>
        </w:rPr>
        <w:t>32.98</w:t>
      </w:r>
      <w:r>
        <w:rPr>
          <w:rFonts w:hint="eastAsia" w:ascii="仿宋_GB2312" w:hAnsi="仿宋_GB2312" w:eastAsia="仿宋_GB2312" w:cs="仿宋_GB2312"/>
          <w:sz w:val="32"/>
          <w:szCs w:val="32"/>
          <w:highlight w:val="none"/>
        </w:rPr>
        <w:t xml:space="preserve"> %，为“三农”金融服务提供人才支撑。</w:t>
      </w:r>
    </w:p>
    <w:p>
      <w:pPr>
        <w:spacing w:line="360" w:lineRule="auto"/>
        <w:ind w:firstLine="640" w:firstLineChars="200"/>
        <w:rPr>
          <w:rFonts w:hint="eastAsia" w:ascii="华文楷体" w:hAnsi="华文楷体" w:eastAsia="华文楷体" w:cs="Tahoma"/>
          <w:color w:val="FF0000"/>
          <w:sz w:val="32"/>
          <w:szCs w:val="32"/>
          <w:highlight w:val="none"/>
          <w:lang w:eastAsia="zh-CN"/>
        </w:rPr>
      </w:pPr>
      <w:r>
        <w:rPr>
          <w:rFonts w:hint="eastAsia" w:ascii="方正楷体_GBK" w:hAnsi="方正楷体_GBK" w:eastAsia="方正楷体_GBK" w:cs="方正楷体_GBK"/>
          <w:sz w:val="32"/>
          <w:szCs w:val="32"/>
          <w:highlight w:val="none"/>
          <w:lang w:val="en-US" w:eastAsia="zh-CN"/>
        </w:rPr>
        <w:t>（三）业务发展方面</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紧密</w:t>
      </w:r>
      <w:r>
        <w:rPr>
          <w:rFonts w:hint="eastAsia" w:ascii="仿宋_GB2312" w:hAnsi="仿宋_GB2312" w:eastAsia="仿宋_GB2312" w:cs="仿宋_GB2312"/>
          <w:sz w:val="32"/>
          <w:szCs w:val="32"/>
          <w:highlight w:val="none"/>
        </w:rPr>
        <w:t>围绕“百千万工程”和乡村振兴战略，聚焦居民消费、实体经济、特色农业等重点领域，精准对接客户需求，推动信贷资源向重点客群倾斜。通过“分客到行、分产到户”的走访营销机制，截至2025年末，新增“百千万工程”领域贷款投放金额超15亿元,超额完成任务目标。</w:t>
      </w:r>
      <w:r>
        <w:rPr>
          <w:rFonts w:hint="eastAsia" w:ascii="仿宋_GB2312" w:hAnsi="仿宋_GB2312" w:eastAsia="仿宋_GB2312" w:cs="仿宋_GB2312"/>
          <w:sz w:val="32"/>
          <w:szCs w:val="32"/>
          <w:highlight w:val="none"/>
          <w:lang w:eastAsia="zh-CN"/>
        </w:rPr>
        <w:t>自2024年10月金融监管总局部署小微企业融资协调机制相关工作以来至2025年末，累计摸排走访小微经营主体4444户，对“推荐清单”小微经营主体新增授信12.44亿元，贷款余额12.24亿元。</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2025年，面对经济形势调整和市场竞争加剧的双重压力，</w:t>
      </w:r>
      <w:r>
        <w:rPr>
          <w:rFonts w:hint="eastAsia" w:ascii="仿宋_GB2312" w:hAnsi="仿宋_GB2312" w:eastAsia="仿宋_GB2312" w:cs="仿宋_GB2312"/>
          <w:sz w:val="32"/>
          <w:szCs w:val="32"/>
          <w:highlight w:val="none"/>
          <w:lang w:val="en-US" w:eastAsia="zh-CN"/>
        </w:rPr>
        <w:t>本行</w:t>
      </w:r>
      <w:r>
        <w:rPr>
          <w:rFonts w:hint="eastAsia" w:ascii="仿宋_GB2312" w:hAnsi="仿宋_GB2312" w:eastAsia="仿宋_GB2312" w:cs="仿宋_GB2312"/>
          <w:sz w:val="32"/>
          <w:szCs w:val="32"/>
          <w:highlight w:val="none"/>
        </w:rPr>
        <w:t>坚持以高质量发展为导向，深入贯彻落实</w:t>
      </w:r>
      <w:r>
        <w:rPr>
          <w:rFonts w:hint="eastAsia" w:ascii="仿宋_GB2312" w:hAnsi="仿宋_GB2312" w:eastAsia="仿宋_GB2312" w:cs="仿宋_GB2312"/>
          <w:sz w:val="32"/>
          <w:szCs w:val="32"/>
          <w:highlight w:val="none"/>
          <w:lang w:val="en-US" w:eastAsia="zh-CN"/>
        </w:rPr>
        <w:t>上级监管部门</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val="en-US" w:eastAsia="zh-CN"/>
        </w:rPr>
        <w:t>省联社</w:t>
      </w:r>
      <w:r>
        <w:rPr>
          <w:rFonts w:hint="eastAsia" w:ascii="仿宋_GB2312" w:hAnsi="仿宋_GB2312" w:eastAsia="仿宋_GB2312" w:cs="仿宋_GB2312"/>
          <w:sz w:val="32"/>
          <w:szCs w:val="32"/>
          <w:highlight w:val="none"/>
        </w:rPr>
        <w:t>关于普惠金融工作相关部署要求，围绕“信贷投放、科技赋能、风险可控”三大核心，奋力推进农村金融（普惠）户户通工作，全面推进普惠转型和产品创新，</w:t>
      </w:r>
      <w:r>
        <w:rPr>
          <w:rFonts w:hint="eastAsia" w:ascii="仿宋_GB2312" w:hAnsi="仿宋_GB2312" w:eastAsia="仿宋_GB2312" w:cs="仿宋_GB2312"/>
          <w:sz w:val="32"/>
          <w:szCs w:val="32"/>
          <w:highlight w:val="none"/>
          <w:lang w:val="en-US" w:eastAsia="zh-CN"/>
        </w:rPr>
        <w:t>通过</w:t>
      </w:r>
      <w:r>
        <w:rPr>
          <w:rFonts w:hint="eastAsia" w:ascii="仿宋_GB2312" w:hAnsi="仿宋_GB2312" w:eastAsia="仿宋_GB2312" w:cs="仿宋_GB2312"/>
          <w:sz w:val="32"/>
          <w:szCs w:val="32"/>
          <w:highlight w:val="none"/>
        </w:rPr>
        <w:t>立足</w:t>
      </w:r>
      <w:r>
        <w:rPr>
          <w:rFonts w:hint="eastAsia" w:ascii="仿宋_GB2312" w:hAnsi="仿宋_GB2312" w:eastAsia="仿宋_GB2312" w:cs="仿宋_GB2312"/>
          <w:sz w:val="32"/>
          <w:szCs w:val="32"/>
          <w:highlight w:val="none"/>
          <w:lang w:val="en-US" w:eastAsia="zh-CN"/>
        </w:rPr>
        <w:t>县内外出务工人员</w:t>
      </w:r>
      <w:r>
        <w:rPr>
          <w:rFonts w:hint="eastAsia" w:ascii="仿宋_GB2312" w:hAnsi="仿宋_GB2312" w:eastAsia="仿宋_GB2312" w:cs="仿宋_GB2312"/>
          <w:sz w:val="32"/>
          <w:szCs w:val="32"/>
          <w:highlight w:val="none"/>
        </w:rPr>
        <w:t>的地域特点，创新推出“乡贤贷”</w:t>
      </w:r>
      <w:r>
        <w:rPr>
          <w:rFonts w:hint="eastAsia" w:ascii="仿宋_GB2312" w:hAnsi="仿宋_GB2312" w:eastAsia="仿宋_GB2312" w:cs="仿宋_GB2312"/>
          <w:sz w:val="32"/>
          <w:szCs w:val="32"/>
          <w:highlight w:val="none"/>
          <w:lang w:val="en-US" w:eastAsia="zh-CN"/>
        </w:rPr>
        <w:t>产品</w:t>
      </w:r>
      <w:r>
        <w:rPr>
          <w:rFonts w:hint="eastAsia" w:ascii="仿宋_GB2312" w:hAnsi="仿宋_GB2312" w:eastAsia="仿宋_GB2312" w:cs="仿宋_GB2312"/>
          <w:sz w:val="32"/>
          <w:szCs w:val="32"/>
          <w:highlight w:val="none"/>
        </w:rPr>
        <w:t>，至2025年末累计发放金额</w:t>
      </w:r>
      <w:r>
        <w:rPr>
          <w:rFonts w:hint="eastAsia" w:ascii="仿宋_GB2312" w:hAnsi="仿宋_GB2312" w:eastAsia="仿宋_GB2312" w:cs="仿宋_GB2312"/>
          <w:sz w:val="32"/>
          <w:szCs w:val="32"/>
          <w:highlight w:val="none"/>
          <w:lang w:val="en-US" w:eastAsia="zh-CN"/>
        </w:rPr>
        <w:t>0.58亿</w:t>
      </w:r>
      <w:r>
        <w:rPr>
          <w:rFonts w:hint="eastAsia" w:ascii="仿宋_GB2312" w:hAnsi="仿宋_GB2312" w:eastAsia="仿宋_GB2312" w:cs="仿宋_GB2312"/>
          <w:sz w:val="32"/>
          <w:szCs w:val="32"/>
          <w:highlight w:val="none"/>
        </w:rPr>
        <w:t>元、余额</w:t>
      </w:r>
      <w:r>
        <w:rPr>
          <w:rFonts w:hint="eastAsia" w:ascii="仿宋_GB2312" w:hAnsi="仿宋_GB2312" w:eastAsia="仿宋_GB2312" w:cs="仿宋_GB2312"/>
          <w:sz w:val="32"/>
          <w:szCs w:val="32"/>
          <w:highlight w:val="none"/>
          <w:lang w:val="en-US" w:eastAsia="zh-CN"/>
        </w:rPr>
        <w:t>0.48亿</w:t>
      </w:r>
      <w:r>
        <w:rPr>
          <w:rFonts w:hint="eastAsia" w:ascii="仿宋_GB2312" w:hAnsi="仿宋_GB2312" w:eastAsia="仿宋_GB2312" w:cs="仿宋_GB2312"/>
          <w:sz w:val="32"/>
          <w:szCs w:val="32"/>
          <w:highlight w:val="none"/>
        </w:rPr>
        <w:t>元，受惠乡贤351户，成为</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行普惠</w:t>
      </w:r>
      <w:r>
        <w:rPr>
          <w:rFonts w:hint="eastAsia" w:ascii="仿宋_GB2312" w:hAnsi="仿宋_GB2312" w:eastAsia="仿宋_GB2312" w:cs="仿宋_GB2312"/>
          <w:sz w:val="32"/>
          <w:szCs w:val="32"/>
          <w:highlight w:val="none"/>
          <w:lang w:val="en-US" w:eastAsia="zh-CN"/>
        </w:rPr>
        <w:t>信贷业务</w:t>
      </w:r>
      <w:r>
        <w:rPr>
          <w:rFonts w:hint="eastAsia" w:ascii="仿宋_GB2312" w:hAnsi="仿宋_GB2312" w:eastAsia="仿宋_GB2312" w:cs="仿宋_GB2312"/>
          <w:sz w:val="32"/>
          <w:szCs w:val="32"/>
          <w:highlight w:val="none"/>
        </w:rPr>
        <w:t>新的增长点。</w:t>
      </w:r>
    </w:p>
    <w:p>
      <w:pPr>
        <w:numPr>
          <w:ilvl w:val="0"/>
          <w:numId w:val="0"/>
        </w:numPr>
        <w:spacing w:line="360" w:lineRule="auto"/>
        <w:ind w:firstLine="640" w:firstLineChars="200"/>
        <w:rPr>
          <w:rFonts w:hint="eastAsia" w:ascii="仿宋_GB2312" w:hAnsi="仿宋_GB2312" w:eastAsia="仿宋_GB2312" w:cs="仿宋_GB2312"/>
          <w:b/>
          <w:bCs/>
          <w:color w:val="FF0000"/>
          <w:kern w:val="0"/>
          <w:sz w:val="32"/>
          <w:szCs w:val="32"/>
          <w:highlight w:val="none"/>
          <w:lang w:val="en-US" w:eastAsia="zh-CN" w:bidi="ar-SA"/>
        </w:rPr>
      </w:pPr>
      <w:r>
        <w:rPr>
          <w:rFonts w:hint="eastAsia" w:ascii="方正楷体_GBK" w:hAnsi="方正楷体_GBK" w:eastAsia="方正楷体_GBK" w:cs="方正楷体_GBK"/>
          <w:sz w:val="32"/>
          <w:szCs w:val="32"/>
          <w:highlight w:val="none"/>
          <w:lang w:val="en-US" w:eastAsia="zh-CN"/>
        </w:rPr>
        <w:t>（四）三农服务方面</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积极对接地方政府、担保机构，推动创业贴息贷款、农业担保贷款等政策落地。截至2025年末，</w:t>
      </w:r>
      <w:r>
        <w:rPr>
          <w:rFonts w:hint="eastAsia" w:ascii="仿宋_GB2312" w:hAnsi="仿宋_GB2312" w:eastAsia="仿宋_GB2312" w:cs="仿宋_GB2312"/>
          <w:sz w:val="32"/>
          <w:szCs w:val="32"/>
          <w:highlight w:val="none"/>
          <w:lang w:val="en-US" w:eastAsia="zh-CN"/>
        </w:rPr>
        <w:t>本</w:t>
      </w:r>
      <w:r>
        <w:rPr>
          <w:rFonts w:hint="eastAsia" w:ascii="仿宋_GB2312" w:hAnsi="仿宋_GB2312" w:eastAsia="仿宋_GB2312" w:cs="仿宋_GB2312"/>
          <w:sz w:val="32"/>
          <w:szCs w:val="32"/>
          <w:highlight w:val="none"/>
        </w:rPr>
        <w:t>行今年累计发放妇女创业担保贷款</w:t>
      </w:r>
      <w:r>
        <w:rPr>
          <w:rFonts w:hint="eastAsia" w:ascii="仿宋_GB2312" w:hAnsi="仿宋_GB2312" w:eastAsia="仿宋_GB2312" w:cs="仿宋_GB2312"/>
          <w:sz w:val="32"/>
          <w:szCs w:val="32"/>
          <w:highlight w:val="none"/>
          <w:lang w:val="en-US" w:eastAsia="zh-CN"/>
        </w:rPr>
        <w:t>0.03亿</w:t>
      </w:r>
      <w:r>
        <w:rPr>
          <w:rFonts w:hint="eastAsia" w:ascii="仿宋_GB2312" w:hAnsi="仿宋_GB2312" w:eastAsia="仿宋_GB2312" w:cs="仿宋_GB2312"/>
          <w:sz w:val="32"/>
          <w:szCs w:val="32"/>
          <w:highlight w:val="none"/>
        </w:rPr>
        <w:t>元，受惠创业妇女41名；累计发放青年创业担保贷款</w:t>
      </w:r>
      <w:r>
        <w:rPr>
          <w:rFonts w:hint="eastAsia" w:ascii="仿宋_GB2312" w:hAnsi="仿宋_GB2312" w:eastAsia="仿宋_GB2312" w:cs="仿宋_GB2312"/>
          <w:sz w:val="32"/>
          <w:szCs w:val="32"/>
          <w:highlight w:val="none"/>
          <w:lang w:val="en-US" w:eastAsia="zh-CN"/>
        </w:rPr>
        <w:t>0.08亿</w:t>
      </w:r>
      <w:r>
        <w:rPr>
          <w:rFonts w:hint="eastAsia" w:ascii="仿宋_GB2312" w:hAnsi="仿宋_GB2312" w:eastAsia="仿宋_GB2312" w:cs="仿宋_GB2312"/>
          <w:sz w:val="32"/>
          <w:szCs w:val="32"/>
          <w:highlight w:val="none"/>
        </w:rPr>
        <w:t>元，受惠创业青年20名；累计发放退役军人创业担保贷款</w:t>
      </w:r>
      <w:r>
        <w:rPr>
          <w:rFonts w:hint="eastAsia" w:ascii="仿宋_GB2312" w:hAnsi="仿宋_GB2312" w:eastAsia="仿宋_GB2312" w:cs="仿宋_GB2312"/>
          <w:sz w:val="32"/>
          <w:szCs w:val="32"/>
          <w:highlight w:val="none"/>
          <w:lang w:val="en-US" w:eastAsia="zh-CN"/>
        </w:rPr>
        <w:t>0.01亿</w:t>
      </w:r>
      <w:r>
        <w:rPr>
          <w:rFonts w:hint="eastAsia" w:ascii="仿宋_GB2312" w:hAnsi="仿宋_GB2312" w:eastAsia="仿宋_GB2312" w:cs="仿宋_GB2312"/>
          <w:sz w:val="32"/>
          <w:szCs w:val="32"/>
          <w:highlight w:val="none"/>
        </w:rPr>
        <w:t>元，受惠创业退役军人7名；累计发放农业担保贷款</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val="en-US" w:eastAsia="zh-CN"/>
        </w:rPr>
        <w:t>2亿</w:t>
      </w:r>
      <w:r>
        <w:rPr>
          <w:rFonts w:hint="eastAsia" w:ascii="仿宋_GB2312" w:hAnsi="仿宋_GB2312" w:eastAsia="仿宋_GB2312" w:cs="仿宋_GB2312"/>
          <w:sz w:val="32"/>
          <w:szCs w:val="32"/>
          <w:highlight w:val="none"/>
        </w:rPr>
        <w:t>元，受惠新型农业经营主体2</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家</w:t>
      </w:r>
      <w:r>
        <w:rPr>
          <w:rFonts w:hint="eastAsia" w:ascii="仿宋_GB2312" w:hAnsi="仿宋_GB2312" w:eastAsia="仿宋_GB2312" w:cs="仿宋_GB2312"/>
          <w:sz w:val="32"/>
          <w:szCs w:val="32"/>
          <w:highlight w:val="none"/>
          <w:lang w:eastAsia="zh-CN"/>
        </w:rPr>
        <w:t>。</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坚持“因地制宜、因客施策”原则，深入挖掘</w:t>
      </w:r>
      <w:r>
        <w:rPr>
          <w:rFonts w:hint="eastAsia" w:ascii="仿宋_GB2312" w:hAnsi="仿宋_GB2312" w:eastAsia="仿宋_GB2312" w:cs="仿宋_GB2312"/>
          <w:sz w:val="32"/>
          <w:szCs w:val="32"/>
          <w:highlight w:val="none"/>
          <w:lang w:val="en-US" w:eastAsia="zh-CN"/>
        </w:rPr>
        <w:t>本土</w:t>
      </w:r>
      <w:r>
        <w:rPr>
          <w:rFonts w:hint="eastAsia" w:ascii="仿宋_GB2312" w:hAnsi="仿宋_GB2312" w:eastAsia="仿宋_GB2312" w:cs="仿宋_GB2312"/>
          <w:sz w:val="32"/>
          <w:szCs w:val="32"/>
          <w:highlight w:val="none"/>
          <w:lang w:eastAsia="zh-CN"/>
        </w:rPr>
        <w:t>经济特色，打造具有本地辨识度的信贷品牌，增强了客户黏性和市场影响力，有效提升了信贷资源的配置效率和经营效益。如本行运用“产业地图+支柱产业+产业主体用信”的业务模式，以“信用+产业”为切入点，创新地方特色金融产品“宁竹e贷”，通过发放纯信用贷款破解广宁县竹加工产业因缺乏抵质押物而产生的融资难、融资贵难题。截至2025年末，发放竹子产业存量贷款共452笔，授信总额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44</w:t>
      </w:r>
      <w:r>
        <w:rPr>
          <w:rFonts w:hint="eastAsia" w:ascii="仿宋_GB2312" w:hAnsi="仿宋_GB2312" w:eastAsia="仿宋_GB2312" w:cs="仿宋_GB2312"/>
          <w:sz w:val="32"/>
          <w:szCs w:val="32"/>
          <w:highlight w:val="none"/>
          <w:lang w:val="en-US" w:eastAsia="zh-CN"/>
        </w:rPr>
        <w:t>亿</w:t>
      </w:r>
      <w:r>
        <w:rPr>
          <w:rFonts w:hint="eastAsia" w:ascii="仿宋_GB2312" w:hAnsi="仿宋_GB2312" w:eastAsia="仿宋_GB2312" w:cs="仿宋_GB2312"/>
          <w:sz w:val="32"/>
          <w:szCs w:val="32"/>
          <w:highlight w:val="none"/>
          <w:lang w:eastAsia="zh-CN"/>
        </w:rPr>
        <w:t>元，余额1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25</w:t>
      </w:r>
      <w:r>
        <w:rPr>
          <w:rFonts w:hint="eastAsia" w:ascii="仿宋_GB2312" w:hAnsi="仿宋_GB2312" w:eastAsia="仿宋_GB2312" w:cs="仿宋_GB2312"/>
          <w:sz w:val="32"/>
          <w:szCs w:val="32"/>
          <w:highlight w:val="none"/>
          <w:lang w:val="en-US" w:eastAsia="zh-CN"/>
        </w:rPr>
        <w:t>亿</w:t>
      </w:r>
      <w:r>
        <w:rPr>
          <w:rFonts w:hint="eastAsia" w:ascii="仿宋_GB2312" w:hAnsi="仿宋_GB2312" w:eastAsia="仿宋_GB2312" w:cs="仿宋_GB2312"/>
          <w:sz w:val="32"/>
          <w:szCs w:val="32"/>
          <w:highlight w:val="none"/>
          <w:lang w:eastAsia="zh-CN"/>
        </w:rPr>
        <w:t>元。其中，“宁竹e贷”产品累计发放126户，金额</w:t>
      </w:r>
      <w:r>
        <w:rPr>
          <w:rFonts w:hint="eastAsia" w:ascii="仿宋_GB2312" w:hAnsi="仿宋_GB2312" w:eastAsia="仿宋_GB2312" w:cs="仿宋_GB2312"/>
          <w:sz w:val="32"/>
          <w:szCs w:val="32"/>
          <w:highlight w:val="none"/>
          <w:lang w:val="en-US" w:eastAsia="zh-CN"/>
        </w:rPr>
        <w:t>0.41亿</w:t>
      </w:r>
      <w:r>
        <w:rPr>
          <w:rFonts w:hint="eastAsia" w:ascii="仿宋_GB2312" w:hAnsi="仿宋_GB2312" w:eastAsia="仿宋_GB2312" w:cs="仿宋_GB2312"/>
          <w:sz w:val="32"/>
          <w:szCs w:val="32"/>
          <w:highlight w:val="none"/>
          <w:lang w:eastAsia="zh-CN"/>
        </w:rPr>
        <w:t>万元，用信余额</w:t>
      </w:r>
      <w:r>
        <w:rPr>
          <w:rFonts w:hint="eastAsia" w:ascii="仿宋_GB2312" w:hAnsi="仿宋_GB2312" w:eastAsia="仿宋_GB2312" w:cs="仿宋_GB2312"/>
          <w:sz w:val="32"/>
          <w:szCs w:val="32"/>
          <w:highlight w:val="none"/>
          <w:lang w:val="en-US" w:eastAsia="zh-CN"/>
        </w:rPr>
        <w:t>0.32亿</w:t>
      </w:r>
      <w:r>
        <w:rPr>
          <w:rFonts w:hint="eastAsia" w:ascii="仿宋_GB2312" w:hAnsi="仿宋_GB2312" w:eastAsia="仿宋_GB2312" w:cs="仿宋_GB2312"/>
          <w:sz w:val="32"/>
          <w:szCs w:val="32"/>
          <w:highlight w:val="none"/>
          <w:lang w:eastAsia="zh-CN"/>
        </w:rPr>
        <w:t>元。其成效显著，获得了广宁县政府高度关注，成功入选《广东改革工作简报》〔2025〕第40期（总第416期）。</w:t>
      </w:r>
    </w:p>
    <w:p>
      <w:pPr>
        <w:autoSpaceDE w:val="0"/>
        <w:autoSpaceDN w:val="0"/>
        <w:adjustRightInd w:val="0"/>
        <w:spacing w:line="360" w:lineRule="auto"/>
        <w:ind w:firstLine="640" w:firstLineChars="200"/>
        <w:jc w:val="left"/>
        <w:rPr>
          <w:rFonts w:hint="eastAsia" w:cs="Times New Roman" w:asciiTheme="minorEastAsia" w:hAnsiTheme="minorEastAsia" w:eastAsiaTheme="minorEastAsia"/>
          <w:color w:val="auto"/>
          <w:sz w:val="32"/>
          <w:szCs w:val="32"/>
          <w:highlight w:val="none"/>
        </w:rPr>
      </w:pPr>
      <w:r>
        <w:rPr>
          <w:rFonts w:hint="eastAsia" w:ascii="仿宋_GB2312" w:hAnsi="仿宋_GB2312" w:eastAsia="仿宋_GB2312" w:cs="仿宋_GB2312"/>
          <w:sz w:val="32"/>
          <w:szCs w:val="32"/>
          <w:highlight w:val="none"/>
        </w:rPr>
        <w:t>截至2025年末，</w:t>
      </w:r>
      <w:r>
        <w:rPr>
          <w:rFonts w:hint="eastAsia" w:ascii="仿宋_GB2312" w:hAnsi="仿宋_GB2312" w:eastAsia="仿宋_GB2312" w:cs="仿宋_GB2312"/>
          <w:sz w:val="32"/>
          <w:szCs w:val="32"/>
          <w:highlight w:val="none"/>
          <w:lang w:val="en-US" w:eastAsia="zh-CN"/>
        </w:rPr>
        <w:t>本行</w:t>
      </w:r>
      <w:r>
        <w:rPr>
          <w:rFonts w:hint="eastAsia" w:ascii="仿宋_GB2312" w:hAnsi="仿宋_GB2312" w:eastAsia="仿宋_GB2312" w:cs="仿宋_GB2312"/>
          <w:sz w:val="32"/>
          <w:szCs w:val="32"/>
          <w:highlight w:val="none"/>
          <w:lang w:eastAsia="zh-CN"/>
        </w:rPr>
        <w:t>涉农贷款、普惠型涉农贷款、涉农及小微企业贷款等关键监管指标均实现稳步增长，有效支持了县域经济发展。其中，涉农贷款余额29.69亿元，比年初增加1.13亿元、增速3.97%;普惠型涉农贷款余额10.76亿元，比年初增加0.99亿元、增速10.2%;涉农及小微企业贷款余额51.6亿元，比年初增加2.16亿元、增速4.37%，占比86.21%。</w:t>
      </w:r>
    </w:p>
    <w:p>
      <w:pPr>
        <w:spacing w:line="360" w:lineRule="auto"/>
        <w:ind w:firstLine="570"/>
        <w:rPr>
          <w:rFonts w:hint="eastAsia" w:ascii="黑体" w:hAnsi="黑体" w:eastAsia="黑体" w:cs="黑体"/>
          <w:b/>
          <w:bCs/>
          <w:kern w:val="2"/>
          <w:sz w:val="32"/>
          <w:szCs w:val="32"/>
          <w:highlight w:val="none"/>
          <w:lang w:val="en-US" w:eastAsia="zh-CN" w:bidi="ar-SA"/>
        </w:rPr>
      </w:pPr>
      <w:r>
        <w:rPr>
          <w:rFonts w:hint="eastAsia" w:ascii="黑体" w:hAnsi="Times New Roman" w:eastAsia="黑体" w:cs="Times New Roman"/>
          <w:sz w:val="32"/>
          <w:szCs w:val="32"/>
          <w:highlight w:val="none"/>
          <w:lang w:val="en-US" w:eastAsia="zh-CN"/>
        </w:rPr>
        <w:t>二、小微企业金融服务情况</w:t>
      </w:r>
    </w:p>
    <w:p>
      <w:pPr>
        <w:autoSpaceDE w:val="0"/>
        <w:autoSpaceDN w:val="0"/>
        <w:adjustRightInd w:val="0"/>
        <w:spacing w:line="360" w:lineRule="auto"/>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年，本行根据上级有关企业纾困、稳市场、稳经济文件精神，加强实体经济支持力度，进一步缓解企业融资难融资贵的工作部署，不断提升小微企业服务质效。</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（一）业务情况</w:t>
      </w:r>
    </w:p>
    <w:p>
      <w:pPr>
        <w:autoSpaceDE w:val="0"/>
        <w:autoSpaceDN w:val="0"/>
        <w:adjustRightInd w:val="0"/>
        <w:spacing w:line="360" w:lineRule="auto"/>
        <w:ind w:left="0" w:firstLine="640" w:firstLineChars="200"/>
        <w:jc w:val="both"/>
        <w:rPr>
          <w:rFonts w:hint="eastAsia" w:cs="Times New Roman" w:asciiTheme="minorEastAsia" w:hAnsiTheme="minorEastAsia" w:eastAsiaTheme="minorEastAsia"/>
          <w:color w:val="auto"/>
          <w:sz w:val="32"/>
          <w:szCs w:val="32"/>
          <w:highlight w:val="none"/>
        </w:rPr>
      </w:pPr>
      <w:r>
        <w:rPr>
          <w:rFonts w:hint="eastAsia" w:ascii="仿宋_GB2312" w:hAnsi="仿宋_GB2312" w:eastAsia="仿宋_GB2312" w:cs="仿宋_GB2312"/>
          <w:sz w:val="32"/>
          <w:szCs w:val="32"/>
          <w:highlight w:val="none"/>
          <w:lang w:eastAsia="zh-CN"/>
        </w:rPr>
        <w:t>截至</w:t>
      </w:r>
      <w:r>
        <w:rPr>
          <w:rFonts w:hint="eastAsia" w:ascii="仿宋_GB2312" w:hAnsi="仿宋_GB2312" w:eastAsia="仿宋_GB2312" w:cs="仿宋_GB2312"/>
          <w:sz w:val="32"/>
          <w:szCs w:val="32"/>
          <w:highlight w:val="none"/>
          <w:lang w:val="en-US" w:eastAsia="zh-CN"/>
        </w:rPr>
        <w:t>2025</w:t>
      </w:r>
      <w:r>
        <w:rPr>
          <w:rFonts w:hint="eastAsia" w:ascii="仿宋_GB2312" w:hAnsi="仿宋_GB2312" w:eastAsia="仿宋_GB2312" w:cs="仿宋_GB2312"/>
          <w:sz w:val="32"/>
          <w:szCs w:val="32"/>
          <w:highlight w:val="none"/>
          <w:lang w:eastAsia="zh-CN"/>
        </w:rPr>
        <w:t>年12月末，各项贷款余额</w:t>
      </w:r>
      <w:r>
        <w:rPr>
          <w:rFonts w:hint="eastAsia" w:ascii="仿宋_GB2312" w:hAnsi="仿宋_GB2312" w:eastAsia="仿宋_GB2312" w:cs="仿宋_GB2312"/>
          <w:sz w:val="32"/>
          <w:szCs w:val="32"/>
          <w:highlight w:val="none"/>
          <w:lang w:val="en-US" w:eastAsia="zh-CN"/>
        </w:rPr>
        <w:t>66.25亿</w:t>
      </w:r>
      <w:r>
        <w:rPr>
          <w:rFonts w:hint="eastAsia" w:ascii="仿宋_GB2312" w:hAnsi="仿宋_GB2312" w:eastAsia="仿宋_GB2312" w:cs="仿宋_GB2312"/>
          <w:sz w:val="32"/>
          <w:szCs w:val="32"/>
          <w:highlight w:val="none"/>
          <w:lang w:eastAsia="zh-CN"/>
        </w:rPr>
        <w:t>元，较年初增加</w:t>
      </w:r>
      <w:r>
        <w:rPr>
          <w:rFonts w:hint="eastAsia" w:ascii="仿宋_GB2312" w:hAnsi="仿宋_GB2312" w:eastAsia="仿宋_GB2312" w:cs="仿宋_GB2312"/>
          <w:sz w:val="32"/>
          <w:szCs w:val="32"/>
          <w:highlight w:val="none"/>
          <w:lang w:val="en-US" w:eastAsia="zh-CN"/>
        </w:rPr>
        <w:t>3.43亿</w:t>
      </w:r>
      <w:r>
        <w:rPr>
          <w:rFonts w:hint="eastAsia" w:ascii="仿宋_GB2312" w:hAnsi="仿宋_GB2312" w:eastAsia="仿宋_GB2312" w:cs="仿宋_GB2312"/>
          <w:sz w:val="32"/>
          <w:szCs w:val="32"/>
          <w:highlight w:val="none"/>
          <w:lang w:eastAsia="zh-CN"/>
        </w:rPr>
        <w:t>元，增幅</w:t>
      </w:r>
      <w:r>
        <w:rPr>
          <w:rFonts w:hint="eastAsia" w:ascii="仿宋_GB2312" w:hAnsi="仿宋_GB2312" w:eastAsia="仿宋_GB2312" w:cs="仿宋_GB2312"/>
          <w:sz w:val="32"/>
          <w:szCs w:val="32"/>
          <w:highlight w:val="none"/>
          <w:lang w:val="en-US" w:eastAsia="zh-CN"/>
        </w:rPr>
        <w:t>5.46</w:t>
      </w:r>
      <w:r>
        <w:rPr>
          <w:rFonts w:hint="eastAsia" w:ascii="仿宋_GB2312" w:hAnsi="仿宋_GB2312" w:eastAsia="仿宋_GB2312" w:cs="仿宋_GB2312"/>
          <w:sz w:val="32"/>
          <w:szCs w:val="32"/>
          <w:highlight w:val="none"/>
          <w:lang w:eastAsia="zh-CN"/>
        </w:rPr>
        <w:t>%。小微企业贷款余额</w:t>
      </w:r>
      <w:r>
        <w:rPr>
          <w:rFonts w:hint="eastAsia" w:ascii="仿宋_GB2312" w:hAnsi="仿宋_GB2312" w:eastAsia="仿宋_GB2312" w:cs="仿宋_GB2312"/>
          <w:sz w:val="32"/>
          <w:szCs w:val="32"/>
          <w:highlight w:val="none"/>
          <w:lang w:val="en-US" w:eastAsia="zh-CN"/>
        </w:rPr>
        <w:t>35.58亿</w:t>
      </w:r>
      <w:r>
        <w:rPr>
          <w:rFonts w:hint="eastAsia" w:ascii="仿宋_GB2312" w:hAnsi="仿宋_GB2312" w:eastAsia="仿宋_GB2312" w:cs="仿宋_GB2312"/>
          <w:sz w:val="32"/>
          <w:szCs w:val="32"/>
          <w:highlight w:val="none"/>
          <w:lang w:eastAsia="zh-CN"/>
        </w:rPr>
        <w:t>元，比年初增加</w:t>
      </w:r>
      <w:r>
        <w:rPr>
          <w:rFonts w:hint="eastAsia" w:ascii="仿宋_GB2312" w:hAnsi="仿宋_GB2312" w:eastAsia="仿宋_GB2312" w:cs="仿宋_GB2312"/>
          <w:sz w:val="32"/>
          <w:szCs w:val="32"/>
          <w:highlight w:val="none"/>
          <w:lang w:val="en-US" w:eastAsia="zh-CN"/>
        </w:rPr>
        <w:t>1.81亿</w:t>
      </w:r>
      <w:r>
        <w:rPr>
          <w:rFonts w:hint="eastAsia" w:ascii="仿宋_GB2312" w:hAnsi="仿宋_GB2312" w:eastAsia="仿宋_GB2312" w:cs="仿宋_GB2312"/>
          <w:sz w:val="32"/>
          <w:szCs w:val="32"/>
          <w:highlight w:val="none"/>
          <w:lang w:eastAsia="zh-CN"/>
        </w:rPr>
        <w:t>元，增幅</w:t>
      </w:r>
      <w:r>
        <w:rPr>
          <w:rFonts w:hint="eastAsia" w:ascii="仿宋_GB2312" w:hAnsi="仿宋_GB2312" w:eastAsia="仿宋_GB2312" w:cs="仿宋_GB2312"/>
          <w:sz w:val="32"/>
          <w:szCs w:val="32"/>
          <w:highlight w:val="none"/>
          <w:lang w:val="en-US" w:eastAsia="zh-CN"/>
        </w:rPr>
        <w:t>5.34</w:t>
      </w:r>
      <w:r>
        <w:rPr>
          <w:rFonts w:hint="eastAsia" w:ascii="仿宋_GB2312" w:hAnsi="仿宋_GB2312" w:eastAsia="仿宋_GB2312" w:cs="仿宋_GB2312"/>
          <w:sz w:val="32"/>
          <w:szCs w:val="32"/>
          <w:highlight w:val="none"/>
          <w:lang w:eastAsia="zh-CN"/>
        </w:rPr>
        <w:t>%。单户授信总额1000万元以下（含）的小微企业贷款余额</w:t>
      </w:r>
      <w:r>
        <w:rPr>
          <w:rFonts w:hint="eastAsia" w:ascii="仿宋_GB2312" w:hAnsi="仿宋_GB2312" w:eastAsia="仿宋_GB2312" w:cs="仿宋_GB2312"/>
          <w:sz w:val="32"/>
          <w:szCs w:val="32"/>
          <w:highlight w:val="none"/>
          <w:lang w:val="en-US" w:eastAsia="zh-CN"/>
        </w:rPr>
        <w:t>18.82亿</w:t>
      </w:r>
      <w:r>
        <w:rPr>
          <w:rFonts w:hint="eastAsia" w:ascii="仿宋_GB2312" w:hAnsi="仿宋_GB2312" w:eastAsia="仿宋_GB2312" w:cs="仿宋_GB2312"/>
          <w:sz w:val="32"/>
          <w:szCs w:val="32"/>
          <w:highlight w:val="none"/>
          <w:lang w:eastAsia="zh-CN"/>
        </w:rPr>
        <w:t>元，比年初增加</w:t>
      </w:r>
      <w:r>
        <w:rPr>
          <w:rFonts w:hint="eastAsia" w:ascii="仿宋_GB2312" w:hAnsi="仿宋_GB2312" w:eastAsia="仿宋_GB2312" w:cs="仿宋_GB2312"/>
          <w:sz w:val="32"/>
          <w:szCs w:val="32"/>
          <w:highlight w:val="none"/>
          <w:lang w:val="en-US" w:eastAsia="zh-CN"/>
        </w:rPr>
        <w:t>1.05亿</w:t>
      </w:r>
      <w:r>
        <w:rPr>
          <w:rFonts w:hint="eastAsia" w:ascii="仿宋_GB2312" w:hAnsi="仿宋_GB2312" w:eastAsia="仿宋_GB2312" w:cs="仿宋_GB2312"/>
          <w:sz w:val="32"/>
          <w:szCs w:val="32"/>
          <w:highlight w:val="none"/>
          <w:lang w:eastAsia="zh-CN"/>
        </w:rPr>
        <w:t>元，增速</w:t>
      </w:r>
      <w:r>
        <w:rPr>
          <w:rFonts w:hint="eastAsia" w:ascii="仿宋_GB2312" w:hAnsi="仿宋_GB2312" w:eastAsia="仿宋_GB2312" w:cs="仿宋_GB2312"/>
          <w:sz w:val="32"/>
          <w:szCs w:val="32"/>
          <w:highlight w:val="none"/>
          <w:lang w:val="en-US" w:eastAsia="zh-CN"/>
        </w:rPr>
        <w:t>5.9</w:t>
      </w:r>
      <w:r>
        <w:rPr>
          <w:rFonts w:hint="eastAsia" w:ascii="仿宋_GB2312" w:hAnsi="仿宋_GB2312" w:eastAsia="仿宋_GB2312" w:cs="仿宋_GB2312"/>
          <w:sz w:val="32"/>
          <w:szCs w:val="32"/>
          <w:highlight w:val="none"/>
          <w:lang w:eastAsia="zh-CN"/>
        </w:rPr>
        <w:t>%；有贷款余额的普惠小微企业贷款户数为</w:t>
      </w:r>
      <w:r>
        <w:rPr>
          <w:rFonts w:hint="eastAsia" w:ascii="仿宋_GB2312" w:hAnsi="仿宋_GB2312" w:eastAsia="仿宋_GB2312" w:cs="仿宋_GB2312"/>
          <w:sz w:val="32"/>
          <w:szCs w:val="32"/>
          <w:highlight w:val="none"/>
          <w:lang w:val="en-US" w:eastAsia="zh-CN"/>
        </w:rPr>
        <w:t>3258</w:t>
      </w:r>
      <w:r>
        <w:rPr>
          <w:rFonts w:hint="eastAsia" w:ascii="仿宋_GB2312" w:hAnsi="仿宋_GB2312" w:eastAsia="仿宋_GB2312" w:cs="仿宋_GB2312"/>
          <w:sz w:val="32"/>
          <w:szCs w:val="32"/>
          <w:highlight w:val="none"/>
          <w:lang w:eastAsia="zh-CN"/>
        </w:rPr>
        <w:t>户，比年初增加</w:t>
      </w:r>
      <w:r>
        <w:rPr>
          <w:rFonts w:hint="eastAsia" w:ascii="仿宋_GB2312" w:hAnsi="仿宋_GB2312" w:eastAsia="仿宋_GB2312" w:cs="仿宋_GB2312"/>
          <w:sz w:val="32"/>
          <w:szCs w:val="32"/>
          <w:highlight w:val="none"/>
          <w:lang w:val="en-US" w:eastAsia="zh-CN"/>
        </w:rPr>
        <w:t>250</w:t>
      </w:r>
      <w:r>
        <w:rPr>
          <w:rFonts w:hint="eastAsia" w:ascii="仿宋_GB2312" w:hAnsi="仿宋_GB2312" w:eastAsia="仿宋_GB2312" w:cs="仿宋_GB2312"/>
          <w:sz w:val="32"/>
          <w:szCs w:val="32"/>
          <w:highlight w:val="none"/>
          <w:lang w:eastAsia="zh-CN"/>
        </w:rPr>
        <w:t>户；在降本上，1-12月普惠型小微企业贷款平均利率为</w:t>
      </w:r>
      <w:r>
        <w:rPr>
          <w:rFonts w:hint="eastAsia" w:ascii="仿宋_GB2312" w:hAnsi="仿宋_GB2312" w:eastAsia="仿宋_GB2312" w:cs="仿宋_GB2312"/>
          <w:sz w:val="32"/>
          <w:szCs w:val="32"/>
          <w:highlight w:val="none"/>
          <w:lang w:val="en-US" w:eastAsia="zh-CN"/>
        </w:rPr>
        <w:t>3.96</w:t>
      </w:r>
      <w:r>
        <w:rPr>
          <w:rFonts w:hint="eastAsia" w:ascii="仿宋_GB2312" w:hAnsi="仿宋_GB2312" w:eastAsia="仿宋_GB2312" w:cs="仿宋_GB2312"/>
          <w:sz w:val="32"/>
          <w:szCs w:val="32"/>
          <w:highlight w:val="none"/>
          <w:lang w:eastAsia="zh-CN"/>
        </w:rPr>
        <w:t>%，低于202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年全年普惠型小微企业贷款平均利率0.</w:t>
      </w:r>
      <w:r>
        <w:rPr>
          <w:rFonts w:hint="eastAsia" w:ascii="仿宋_GB2312" w:hAnsi="仿宋_GB2312" w:eastAsia="仿宋_GB2312" w:cs="仿宋_GB2312"/>
          <w:sz w:val="32"/>
          <w:szCs w:val="32"/>
          <w:highlight w:val="none"/>
          <w:lang w:val="en-US" w:eastAsia="zh-CN"/>
        </w:rPr>
        <w:t>43</w:t>
      </w:r>
      <w:r>
        <w:rPr>
          <w:rFonts w:hint="eastAsia" w:ascii="仿宋_GB2312" w:hAnsi="仿宋_GB2312" w:eastAsia="仿宋_GB2312" w:cs="仿宋_GB2312"/>
          <w:sz w:val="32"/>
          <w:szCs w:val="32"/>
          <w:highlight w:val="none"/>
          <w:lang w:eastAsia="zh-CN"/>
        </w:rPr>
        <w:t>个百分点，小微企业服务水平得到进一步提升。</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（二）信贷产品创新情况</w:t>
      </w:r>
    </w:p>
    <w:p>
      <w:pPr>
        <w:autoSpaceDE w:val="0"/>
        <w:autoSpaceDN w:val="0"/>
        <w:adjustRightInd w:val="0"/>
        <w:spacing w:line="360" w:lineRule="auto"/>
        <w:ind w:left="0" w:firstLine="640" w:firstLineChars="200"/>
        <w:jc w:val="both"/>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一是</w:t>
      </w:r>
      <w:r>
        <w:rPr>
          <w:rFonts w:hint="eastAsia" w:ascii="仿宋_GB2312" w:hAnsi="仿宋_GB2312" w:eastAsia="仿宋_GB2312" w:cs="仿宋_GB2312"/>
          <w:sz w:val="32"/>
          <w:szCs w:val="32"/>
          <w:highlight w:val="none"/>
          <w:lang w:eastAsia="zh-CN"/>
        </w:rPr>
        <w:t>创新推出“乡贤贷”特色信贷产品，</w:t>
      </w:r>
      <w:r>
        <w:rPr>
          <w:rFonts w:hint="eastAsia" w:ascii="仿宋_GB2312" w:hAnsi="仿宋_GB2312" w:eastAsia="仿宋_GB2312" w:cs="仿宋_GB2312"/>
          <w:sz w:val="32"/>
          <w:szCs w:val="32"/>
          <w:highlight w:val="none"/>
          <w:lang w:val="en-US" w:eastAsia="zh-CN"/>
        </w:rPr>
        <w:t>该产品为</w:t>
      </w:r>
      <w:r>
        <w:rPr>
          <w:rFonts w:hint="eastAsia" w:ascii="仿宋_GB2312" w:hAnsi="仿宋_GB2312" w:eastAsia="仿宋_GB2312" w:cs="仿宋_GB2312"/>
          <w:sz w:val="32"/>
          <w:szCs w:val="32"/>
          <w:highlight w:val="none"/>
          <w:lang w:eastAsia="zh-CN"/>
        </w:rPr>
        <w:t>全线上的个人消费贷款，为乡贤群体提供高效、便捷、低成本的金融服务。</w:t>
      </w:r>
    </w:p>
    <w:p>
      <w:pPr>
        <w:autoSpaceDE w:val="0"/>
        <w:autoSpaceDN w:val="0"/>
        <w:adjustRightInd w:val="0"/>
        <w:spacing w:line="360" w:lineRule="auto"/>
        <w:ind w:left="0" w:firstLine="640" w:firstLineChars="200"/>
        <w:jc w:val="both"/>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二是推出了“经营性物业经营权质押贷款”“领行企业贷”，满足不同市场主体融资需求。</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（三）小微企业网点建设情况</w:t>
      </w:r>
    </w:p>
    <w:p>
      <w:pPr>
        <w:autoSpaceDE w:val="0"/>
        <w:autoSpaceDN w:val="0"/>
        <w:adjustRightInd w:val="0"/>
        <w:spacing w:line="360" w:lineRule="auto"/>
        <w:ind w:left="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行网点共24个，其中可办理小微企业、个体工商户信贷业务的网点23个，网点遍布全县城乡。为切实加大普惠小微企业服务质效，本行2022年在总行设立了一级部门普惠金融部，指导全行坚守支农支小定位工作措施，加强对小微的金融服务。</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（四）激励措施方面</w:t>
      </w:r>
    </w:p>
    <w:p>
      <w:pPr>
        <w:autoSpaceDE w:val="0"/>
        <w:autoSpaceDN w:val="0"/>
        <w:adjustRightInd w:val="0"/>
        <w:spacing w:line="360" w:lineRule="auto"/>
        <w:ind w:left="0"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行出台了《广东广宁农村商业银行股份有限公司2025年一季度“开门红”劳动竞赛方案》《广宁农商银行2025年普惠贷款“夏日攻势”竞赛活动方案》《广宁农商银行2025年“决胜金秋”劳动竞赛活动方案》等专项营销奖励方案，适当提高小微企业营销奖励标准，提高员工服务小微企业积极性。</w:t>
      </w:r>
    </w:p>
    <w:p>
      <w:pPr>
        <w:autoSpaceDE w:val="0"/>
        <w:autoSpaceDN w:val="0"/>
        <w:adjustRightInd w:val="0"/>
        <w:spacing w:line="360" w:lineRule="auto"/>
        <w:ind w:firstLine="640" w:firstLineChars="200"/>
        <w:jc w:val="left"/>
        <w:rPr>
          <w:rFonts w:hint="default" w:asciiTheme="minorEastAsia" w:hAnsiTheme="minorEastAsia" w:eastAsiaTheme="minorEastAsia"/>
          <w:b/>
          <w:bCs w:val="0"/>
          <w:color w:val="FF0000"/>
          <w:sz w:val="30"/>
          <w:szCs w:val="30"/>
          <w:highlight w:val="none"/>
          <w:lang w:val="en-US" w:eastAsia="zh-CN"/>
        </w:rPr>
      </w:pPr>
      <w:r>
        <w:rPr>
          <w:rFonts w:hint="eastAsia" w:ascii="黑体" w:hAnsi="Times New Roman" w:eastAsia="黑体" w:cs="Times New Roman"/>
          <w:sz w:val="32"/>
          <w:szCs w:val="32"/>
          <w:highlight w:val="none"/>
          <w:lang w:val="en-US" w:eastAsia="zh-CN"/>
        </w:rPr>
        <w:t>三、金融支持“五篇大文章”工作情况</w:t>
      </w:r>
    </w:p>
    <w:p>
      <w:pPr>
        <w:spacing w:line="360" w:lineRule="auto"/>
        <w:ind w:firstLine="579" w:firstLineChars="18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贯彻落实金融服务“五篇大文章”工作，制定金融支持“五篇大文章”工作方案和工作专班，促进金融五篇大文章各项工作协调、持续、稳健发展。积极参加银企对接会，落实小微企业融资协调机制工作，开展客户大走访活动。重视支持本地科技企业发展，将更多金融资源用于促进科技创新，根据初创期、成长期、成熟期等不同发展阶段科技型企业需求，加大科技企业信用贷、中长期贷款投放，科技贷款余额5.86亿元，比年初增加0.49亿元，增幅9.06%。积极支持重点行业和领域节能、减污、降碳，有序拓展绿色信贷业务，加大绿色信贷投放力度，绿色贷款余额5.67亿元，比年初增加0.88亿元，增幅18.42%。践行勤劳金融，深入推进农村普惠金融“户户通”工作，加大普惠金融普及面，普惠小微企业余额18.82亿元，比年初增加1.05亿元，增幅5.9%。提高养老金融服务，加大养老产业信贷支持力度，养老产业贷款余额0.01亿元，比年初增加0.01亿元，增幅100%。完善适老服务设施和服务，优化服务流程，加强老年人金融知识宣传。加强数字金融赋能智慧发展，上线应用“客户画像平台”，上线信贷系统4.0项目，创新平台营销模式，强化“户户通”APP和“广东农信产品一点通”小程序推广应用，在全县布设“粤智助”政务服务一体机，推动“政务+金融”向基层延伸。</w:t>
      </w:r>
    </w:p>
    <w:p>
      <w:pPr>
        <w:numPr>
          <w:ilvl w:val="0"/>
          <w:numId w:val="6"/>
        </w:numPr>
        <w:spacing w:line="360" w:lineRule="auto"/>
        <w:ind w:firstLine="579" w:firstLineChars="181"/>
        <w:rPr>
          <w:rFonts w:hint="eastAsia" w:ascii="黑体" w:hAnsi="Times New Roman" w:eastAsia="黑体" w:cs="Times New Roman"/>
          <w:sz w:val="32"/>
          <w:szCs w:val="32"/>
          <w:highlight w:val="none"/>
          <w:lang w:val="en-US" w:eastAsia="zh-CN"/>
        </w:rPr>
      </w:pPr>
      <w:r>
        <w:rPr>
          <w:rFonts w:hint="eastAsia" w:ascii="黑体" w:hAnsi="Times New Roman" w:eastAsia="黑体" w:cs="Times New Roman"/>
          <w:sz w:val="32"/>
          <w:szCs w:val="32"/>
          <w:highlight w:val="none"/>
          <w:lang w:val="en-US" w:eastAsia="zh-CN"/>
        </w:rPr>
        <w:t>绿色信贷开展情况</w:t>
      </w:r>
    </w:p>
    <w:p>
      <w:pPr>
        <w:numPr>
          <w:ilvl w:val="0"/>
          <w:numId w:val="0"/>
        </w:numPr>
        <w:spacing w:line="360" w:lineRule="auto"/>
        <w:ind w:firstLine="640" w:firstLineChars="200"/>
        <w:rPr>
          <w:rFonts w:asciiTheme="minorEastAsia" w:hAnsiTheme="minorEastAsia" w:eastAsiaTheme="minorEastAsia"/>
          <w:color w:val="auto"/>
          <w:sz w:val="32"/>
          <w:szCs w:val="32"/>
          <w:highlight w:val="none"/>
        </w:rPr>
      </w:pPr>
      <w:r>
        <w:rPr>
          <w:rFonts w:hint="eastAsia" w:ascii="仿宋_GB2312" w:hAnsi="仿宋_GB2312" w:eastAsia="仿宋_GB2312" w:cs="仿宋_GB2312"/>
          <w:sz w:val="32"/>
          <w:szCs w:val="32"/>
          <w:highlight w:val="none"/>
          <w:lang w:val="en-US" w:eastAsia="zh-CN"/>
        </w:rPr>
        <w:t>本行在开展绿色信贷中，能够严格落实《关于广东银行业加快发展绿色金融的实施意见》《银行业保险业绿色金融高质量发展实施方案》等相关工作要求，认真开展绿色信贷工作。</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（一）公司治理方面</w:t>
      </w:r>
    </w:p>
    <w:p>
      <w:pPr>
        <w:spacing w:line="360" w:lineRule="auto"/>
        <w:ind w:firstLine="579" w:firstLineChars="18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行董事会负责确定绿色贷款发展战略，审批高级管理层制定的绿色贷款目标和提交的绿色贷款报告，监督、评估绿色贷款发展战略执行情况。高级管理层根据董事会的决定，制定绿色贷款目标，建立机制和流程，明确职责和权限，开展内控检查和考核评价，每年度向董事会报告绿色贷款发展情况，每年进行环境信息披露工作，并及时向监管机构报送相关情况。</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（二）制度建设方面</w:t>
      </w:r>
    </w:p>
    <w:p>
      <w:pPr>
        <w:spacing w:line="360" w:lineRule="auto"/>
        <w:ind w:firstLine="579" w:firstLineChars="18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促进绿色贷款发展，降低绿色信贷客户融资成本，切实为绿色信贷主体减负，有效地优化信贷结构，提高服务水平，促进发展方式转变，完善相关信贷政策制度和流程管理，本行制定了《广东广宁农村商业银行股份有限公司绿色贷款管理办法》，并在贷款利率定价实施细则中，对绿色贷款进行差异化定价，降低绿色融资成本。</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（三）业务发展方面</w:t>
      </w:r>
    </w:p>
    <w:p>
      <w:pPr>
        <w:autoSpaceDE w:val="0"/>
        <w:autoSpaceDN w:val="0"/>
        <w:adjustRightInd w:val="0"/>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强化绿色发展理念，贯彻落实国家碳达峰、碳中和重大决策部署，做好绿色金融服务，发展绿色金融，本行将绿色信贷发展纳入《广东广宁农村商业银行股份有限公司三年战略发展规划（2024-2026）》和制定了《广宁农商银行创建“碳中和”示范点实施方案》，大力支持本地绿色产业发展。截至2025年12月末，绿色贷款余额5.67亿元，比年初增加0.88亿元，增幅18.42%，高于各项贷款增速。</w:t>
      </w:r>
    </w:p>
    <w:p>
      <w:pPr>
        <w:autoSpaceDE w:val="0"/>
        <w:autoSpaceDN w:val="0"/>
        <w:adjustRightInd w:val="0"/>
        <w:ind w:firstLine="720" w:firstLineChars="200"/>
        <w:jc w:val="center"/>
        <w:rPr>
          <w:rFonts w:hint="eastAsia" w:ascii="方正小标宋_GBK" w:hAnsi="方正小标宋_GBK" w:eastAsia="方正小标宋_GBK" w:cs="方正小标宋_GBK"/>
          <w:b w:val="0"/>
          <w:bCs w:val="0"/>
          <w:kern w:val="2"/>
          <w:sz w:val="36"/>
          <w:szCs w:val="36"/>
          <w:highlight w:val="none"/>
          <w:lang w:val="en-US" w:eastAsia="zh-CN" w:bidi="ar-SA"/>
        </w:rPr>
      </w:pPr>
    </w:p>
    <w:p>
      <w:pPr>
        <w:pStyle w:val="2"/>
        <w:rPr>
          <w:rFonts w:hint="eastAsia"/>
          <w:lang w:val="en-US" w:eastAsia="zh-CN"/>
        </w:rPr>
      </w:pPr>
    </w:p>
    <w:p>
      <w:pPr>
        <w:numPr>
          <w:ilvl w:val="0"/>
          <w:numId w:val="7"/>
        </w:numPr>
        <w:autoSpaceDE w:val="0"/>
        <w:autoSpaceDN w:val="0"/>
        <w:adjustRightInd w:val="0"/>
        <w:ind w:firstLine="720" w:firstLineChars="200"/>
        <w:jc w:val="center"/>
        <w:rPr>
          <w:rFonts w:hint="eastAsia" w:ascii="方正小标宋_GBK" w:hAnsi="方正小标宋_GBK" w:eastAsia="方正小标宋_GBK" w:cs="方正小标宋_GBK"/>
          <w:b w:val="0"/>
          <w:bCs w:val="0"/>
          <w:kern w:val="2"/>
          <w:sz w:val="36"/>
          <w:szCs w:val="36"/>
          <w:highlight w:val="none"/>
          <w:lang w:val="en-US" w:eastAsia="zh-CN" w:bidi="ar-SA"/>
        </w:rPr>
      </w:pPr>
      <w:r>
        <w:rPr>
          <w:rFonts w:hint="eastAsia" w:ascii="方正小标宋_GBK" w:hAnsi="方正小标宋_GBK" w:eastAsia="方正小标宋_GBK" w:cs="方正小标宋_GBK"/>
          <w:b w:val="0"/>
          <w:bCs w:val="0"/>
          <w:kern w:val="2"/>
          <w:sz w:val="36"/>
          <w:szCs w:val="36"/>
          <w:highlight w:val="none"/>
          <w:lang w:val="en-US" w:eastAsia="zh-CN" w:bidi="ar-SA"/>
        </w:rPr>
        <w:t>风险管理情况</w:t>
      </w:r>
    </w:p>
    <w:p>
      <w:pPr>
        <w:pStyle w:val="2"/>
        <w:numPr>
          <w:ilvl w:val="0"/>
          <w:numId w:val="0"/>
        </w:numPr>
        <w:rPr>
          <w:rFonts w:hint="eastAsia"/>
          <w:lang w:val="en-US" w:eastAsia="zh-CN"/>
        </w:rPr>
      </w:pPr>
    </w:p>
    <w:p>
      <w:pPr>
        <w:autoSpaceDE w:val="0"/>
        <w:autoSpaceDN w:val="0"/>
        <w:adjustRightInd w:val="0"/>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行在经营中面临的主要风险包括信用风险、流动性风险、市场风险和操作风险等。报告期内，本行在深入分析国内外经济金融形势、国家宏观调控政策和市场环境的基础上，结合自身业务特色，采取各项有效措施，积极完善风险管理体系机制，进一步改进风险管理手段工具，加快提升全面风险管理能力，各类风险得到有效控制，保障了本行各项业务安全、持续、稳健开展。</w:t>
      </w:r>
    </w:p>
    <w:p>
      <w:pPr>
        <w:spacing w:line="360" w:lineRule="auto"/>
        <w:ind w:firstLine="640" w:firstLineChars="200"/>
        <w:rPr>
          <w:rFonts w:hint="eastAsia" w:ascii="仿宋_GB2312" w:hAnsi="仿宋_GB2312" w:eastAsia="仿宋_GB2312" w:cs="仿宋_GB2312"/>
          <w:b/>
          <w:bCs/>
          <w:color w:val="FF0000"/>
          <w:sz w:val="32"/>
          <w:szCs w:val="32"/>
          <w:highlight w:val="none"/>
          <w:lang w:eastAsia="zh-CN"/>
        </w:rPr>
      </w:pPr>
      <w:r>
        <w:rPr>
          <w:rFonts w:hint="eastAsia" w:ascii="黑体" w:hAnsi="Times New Roman" w:eastAsia="黑体" w:cs="Times New Roman"/>
          <w:sz w:val="32"/>
          <w:szCs w:val="32"/>
          <w:highlight w:val="none"/>
          <w:lang w:val="en-US" w:eastAsia="zh-CN"/>
        </w:rPr>
        <w:t>一、</w:t>
      </w:r>
      <w:r>
        <w:rPr>
          <w:rFonts w:hint="eastAsia" w:ascii="黑体" w:hAnsi="Times New Roman" w:eastAsia="黑体" w:cs="Times New Roman"/>
          <w:sz w:val="32"/>
          <w:szCs w:val="32"/>
          <w:highlight w:val="none"/>
        </w:rPr>
        <w:t>信用风险管理情况和说明</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（一）信贷资产质量</w:t>
      </w:r>
    </w:p>
    <w:p>
      <w:pPr>
        <w:autoSpaceDE w:val="0"/>
        <w:autoSpaceDN w:val="0"/>
        <w:adjustRightInd w:val="0"/>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截至2025年12月末，不良贷款余额为0.77亿元，比年初增加0.15亿元，增幅25.16%；不良贷款率为1.16%，比年初上升0.18个百分点；逾期贷款余额3.16亿元，较年初减少1.63亿元，降幅34.07%；关注贷款4.29亿元，较年初减少0.48亿元，降幅10.01%。</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（二）大额风险暴露情况</w:t>
      </w:r>
    </w:p>
    <w:p>
      <w:pPr>
        <w:autoSpaceDE w:val="0"/>
        <w:autoSpaceDN w:val="0"/>
        <w:adjustRightInd w:val="0"/>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截至2025年12月末，本行最大单家非同业单一客户占资本净额8.94%，最大单家非同业单一客户风险暴露占一级资本净额9.74%，最大单家非同业集团或经济依存客户风险暴露占一级资本净额15.18%，同业单一客户大额风险暴露占一级资本净额的比例14%。</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（三）信用风险状况说明</w:t>
      </w:r>
    </w:p>
    <w:p>
      <w:pPr>
        <w:autoSpaceDE w:val="0"/>
        <w:autoSpaceDN w:val="0"/>
        <w:adjustRightInd w:val="0"/>
        <w:spacing w:line="36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从表内外不良贷款情况看，虽然因房地产市场仍在调整期和较复杂的国内外经济环境影响，导致整体信用风险仍存在一定压力，但本行实施了风险攻坚年工作方案以及不良贷款清收专项活动，并积极运用诉讼清收、资产重组、债权转让等措施，拓宽风险处置渠道，大力化解风险，并取得一定成效，信用风险得到有效管控。下一步本行将积极贯彻落实省联社和监管部门工作要求，强化贷款风险全流程管理，加快风险处置和加强风险防控工作，夯实发展基础，保障信贷资产质量得到有效控制。</w:t>
      </w:r>
    </w:p>
    <w:p>
      <w:pPr>
        <w:spacing w:line="360" w:lineRule="auto"/>
        <w:ind w:firstLine="640" w:firstLineChars="200"/>
        <w:rPr>
          <w:rFonts w:hint="eastAsia" w:ascii="华文楷体" w:hAnsi="华文楷体" w:eastAsia="华文楷体"/>
          <w:color w:val="auto"/>
          <w:sz w:val="32"/>
          <w:szCs w:val="32"/>
          <w:highlight w:val="none"/>
          <w:lang w:val="en-US" w:eastAsia="zh-CN"/>
        </w:rPr>
      </w:pPr>
      <w:r>
        <w:rPr>
          <w:rFonts w:hint="eastAsia" w:ascii="黑体" w:hAnsi="Times New Roman" w:eastAsia="黑体" w:cs="Times New Roman"/>
          <w:sz w:val="32"/>
          <w:szCs w:val="32"/>
          <w:highlight w:val="none"/>
          <w:lang w:val="en-US" w:eastAsia="zh-CN"/>
        </w:rPr>
        <w:t>二、</w:t>
      </w:r>
      <w:r>
        <w:rPr>
          <w:rFonts w:hint="eastAsia" w:ascii="黑体" w:hAnsi="Times New Roman" w:eastAsia="黑体" w:cs="Times New Roman"/>
          <w:sz w:val="32"/>
          <w:szCs w:val="32"/>
          <w:highlight w:val="none"/>
        </w:rPr>
        <w:t>流动性风险管理情况</w:t>
      </w:r>
    </w:p>
    <w:p>
      <w:pPr>
        <w:ind w:firstLine="640" w:firstLineChars="200"/>
        <w:rPr>
          <w:rFonts w:hint="eastAsia" w:cs="仿宋_GB2312" w:asciiTheme="minorEastAsia" w:hAnsiTheme="minorEastAsia" w:eastAsiaTheme="minorEastAsia"/>
          <w:color w:val="auto"/>
          <w:kern w:val="0"/>
          <w:sz w:val="32"/>
          <w:szCs w:val="32"/>
          <w:highlight w:val="none"/>
        </w:rPr>
      </w:pPr>
      <w:r>
        <w:rPr>
          <w:rFonts w:hint="eastAsia" w:ascii="仿宋_GB2312" w:hAnsi="仿宋_GB2312" w:eastAsia="仿宋_GB2312" w:cs="仿宋_GB2312"/>
          <w:sz w:val="32"/>
          <w:szCs w:val="32"/>
          <w:highlight w:val="none"/>
          <w:lang w:val="en-US" w:eastAsia="zh-CN"/>
        </w:rPr>
        <w:t>截至2025年12月末，本行流动性比例为93.69%，比年初增加10.28个百分点，高于最低监管标准≥25%的68.69个百分点；流动性缺口率为8.55%，比年初增加10.26个百分点，高于最低监管标准≥-10%的18.55个百分点；核心负债依存度为79.10%，比年初减少3.42个百分点，高于最低监管标准≥60%的19.10个百分点；流动性匹配率为197.85%，比年初增加4.8个百分点，高于最低监管标准≥100%的97.85个百分点；优质流动性资产充足率为1210.99%，比年初增加282.61个百分点，高于最低监管标准≥100%的1110.99个百分点。存贷比例为55.13%，比年初减少0.92个百分点，流动性指标均达到监管要求。</w:t>
      </w:r>
    </w:p>
    <w:p>
      <w:pPr>
        <w:pStyle w:val="16"/>
        <w:widowControl/>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2025年度，本行整体流动性运行情况基本稳定，各项流动性风险指标均达到监管标准要求。同时，本行切实加强资本管理，高度关注流动性风险，不断提升突发风险应对能力，制定了《广东广宁农村商业银行股份有限公司集中取款突发事件应急处置预案(2023年版)》《广东广宁农村商业银行股份有限公司流动性风险管理办法（2025年版）》《广东广宁农村商业银行股份有限公司挤兑事件及流动性风险应急处置预案（2025年版）》及《广东广宁农村商业银行股份有限公司流动性风险压力测试管理办法（2023年版）》等制度，形成了较为完整的流动性风险管理制度体系，确保能及时应对和处理紧急或危机情况。</w:t>
      </w:r>
    </w:p>
    <w:p>
      <w:pPr>
        <w:ind w:firstLine="640" w:firstLineChars="200"/>
        <w:rPr>
          <w:rFonts w:hint="eastAsia" w:ascii="华文楷体" w:hAnsi="华文楷体" w:eastAsia="华文楷体"/>
          <w:color w:val="auto"/>
          <w:sz w:val="32"/>
          <w:szCs w:val="32"/>
          <w:highlight w:val="none"/>
          <w:lang w:eastAsia="zh-CN"/>
        </w:rPr>
      </w:pPr>
      <w:r>
        <w:rPr>
          <w:rFonts w:hint="eastAsia" w:ascii="黑体" w:hAnsi="Times New Roman" w:eastAsia="黑体" w:cs="Times New Roman"/>
          <w:sz w:val="32"/>
          <w:szCs w:val="32"/>
          <w:highlight w:val="none"/>
          <w:lang w:val="en-US" w:eastAsia="zh-CN"/>
        </w:rPr>
        <w:t>三、</w:t>
      </w:r>
      <w:r>
        <w:rPr>
          <w:rFonts w:hint="eastAsia" w:ascii="黑体" w:hAnsi="Times New Roman" w:eastAsia="黑体" w:cs="Times New Roman"/>
          <w:sz w:val="32"/>
          <w:szCs w:val="32"/>
          <w:highlight w:val="none"/>
        </w:rPr>
        <w:t>市场风险管理情况</w:t>
      </w:r>
    </w:p>
    <w:p>
      <w:pPr>
        <w:numPr>
          <w:ilvl w:val="0"/>
          <w:numId w:val="0"/>
        </w:numPr>
        <w:spacing w:line="560" w:lineRule="exact"/>
        <w:ind w:firstLine="640" w:firstLineChars="200"/>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本行建立了市场风险管理机制，制定了《广东广宁农村商业银行股份有限公司市场风险管理办法》《广东广宁农村商业银行股份有限公司资金业务风险限额管理办法》等风险管理制度，将市场风险控制在本行可承受的范围之内，以实现经风险调整收益率的最大化，确保市场风险承担的业务活动收益与其风险相当，维护良好的市场信誉，实现资金营运安全性、流动性和效益性的协调统一，推动本行的持续、健康运行。截止2025年12月末，本行资金业务总规模49.01亿元，比年初增加1.06亿元，增幅2.2%，具体情况如下：一是同业资产余额11.75亿元，比年初增加了0.28亿元，增幅2.41%，其中存放同业余额（包括清算性同业存款）3.17亿元，买入返售余额3.3亿元，同业存单投资余额5.27亿元；二是同业投资余额37.26亿元，比年初增长0.78亿元 增幅2.14%，其中债券投资余额36.72亿元；股权投资0.55亿元。</w:t>
      </w:r>
    </w:p>
    <w:p>
      <w:pPr>
        <w:autoSpaceDE w:val="0"/>
        <w:autoSpaceDN w:val="0"/>
        <w:adjustRightInd w:val="0"/>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一类、二类、三类风险限额各项指标均在正常值，一类指标方面：本行同业融入比例为0％，符合监管标准≤1/3；最大十家同业融入比例0%，符合监管标准≤20%；同业融出集中度为11.20％，符合监管标准≤50％；非同业单一客户风险暴露限额为9.74％，符合监管标准≤15％；一组非同业关联客户风险暴露限额为15.18％，符合监管标准≤20％；同业客户风险暴露限额为14％，符合监管标准≤25％；匿名客户风险暴露限额为0％；流动性比例93.69％，符合监管标准≥25％；90天流动性缺口率8.55%，符合监管标准≥-10%；资金业务营运杠杆倍数为1.0倍，符合监管标准≤1.4倍；正回购杠杆率0%，符合监管标准≤80％；逆回购杠杆率47.8％，符合监管标准≤80％；债券投资增速2.24%，预警值为大于20%，符合监管标准;同业资产增速-3.67％，预警值为大于20%，符合监管标准；同业负债增速为-100％，债券投资杠杆倍数0%，参考预警值为大于30%，符合监管标准。自营业务资产占总资产比重38.89%，红线设定值≥40%，符合设定要求；利率债质押比例0%，红线设定值≥85%，符合设定要求；债券组合加权久期5.68年，红线设定值≥8年，符合设定要求。2025年度，本行市场风险可控且市场风险指标符合监管要求。</w:t>
      </w:r>
    </w:p>
    <w:p>
      <w:pPr>
        <w:ind w:firstLine="640" w:firstLineChars="200"/>
        <w:rPr>
          <w:rFonts w:hint="eastAsia" w:ascii="华文楷体" w:hAnsi="华文楷体" w:eastAsia="华文楷体"/>
          <w:color w:val="auto"/>
          <w:sz w:val="32"/>
          <w:szCs w:val="32"/>
          <w:highlight w:val="none"/>
          <w:lang w:eastAsia="zh-CN"/>
        </w:rPr>
      </w:pPr>
      <w:r>
        <w:rPr>
          <w:rFonts w:hint="eastAsia" w:ascii="黑体" w:eastAsia="黑体" w:cs="Times New Roman"/>
          <w:sz w:val="32"/>
          <w:szCs w:val="32"/>
          <w:highlight w:val="none"/>
          <w:lang w:val="en-US" w:eastAsia="zh-CN"/>
        </w:rPr>
        <w:t>四、</w:t>
      </w:r>
      <w:r>
        <w:rPr>
          <w:rFonts w:hint="eastAsia" w:ascii="黑体" w:hAnsi="Times New Roman" w:eastAsia="黑体" w:cs="Times New Roman"/>
          <w:sz w:val="32"/>
          <w:szCs w:val="32"/>
          <w:highlight w:val="none"/>
        </w:rPr>
        <w:t>操作风险管理情况</w:t>
      </w:r>
    </w:p>
    <w:p>
      <w:pPr>
        <w:autoSpaceDE w:val="0"/>
        <w:autoSpaceDN w:val="0"/>
        <w:adjustRightInd w:val="0"/>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为强化操作风险管理，本行充分发挥“三道防线”对操作风险的自控、互控和监控作用，多措并举，不断提升操作风险管理的实效。具体管理措施：一是本行严格按照监管部门及省联社最新要求，制定操作风险管理办法，持续完善本行操作风险制度体系。二是将制度要求嵌入业务全流程，明确资金业务、柜面现金业务等重点领域的风险限额与管控标准。建立制度执行常态化检查机制，采取定期全面排查与不定期突击抽查相结合的方式，重点核查制度执行的规范性与一致性，对发现的有章不循、违规操作行为严肃追责问责，确保制度要求落地见效。三是持续推进风险预警系统应用。本行根据风险预警系统的各项工作任务，积极抓好内控流程梳理、风险预警监测、KRI关键风险指标新增维护、合规、内控、操作风险“三合一”模块工作管理等工作，及时落实完善，全面提升本行的风险管理能力。四是运用风险预警系统对操作风险损失事件进行收集，并根据已经发现的损失事件及时制定行动方案并跟进落实情况，预防损失事件的再次发生。五是切实执行岗位轮换、强制休假和亲属回避的制度要求，防范案件风险。严格执行重要岗位员工轮岗、强制休假和亲属回避制度，2025年符合到期岗位轮换的总人数为180人，已完成岗位轮换人员180人，轮岗率100%；符合强制休假人数152人，已完成强制休假152人，强休率为100%；符合亲属回避人数131人，已回避人数131人，覆盖率为100%。六是加强风险意识培训教育，树立工作人员合规风险意识，提高从业人员队伍管理及操作水平。七是根据各分支机构和各部门的经营能力、管理水平、风险状况和业务发展需要，建立相应的授权体系，明确各级机构、部门、岗位、人员办理业务和事项的权限，并实施动态调整。八是将操作风险管理体系运行审计评价纳入年度审计计划，实现对柜面业务、信贷业务、中间业务、财务管理等关键领域的审计全覆盖。采用“专项审计+日常监测”双轨模式，专项审计重点围绕操作风险管理环节的完整性与有效性开展，日常监测依托风险预警系统、业务系统数据等，对高频操作、异常交易进行实时跟踪预警。建立审计问题台账，识别操作风险管理体系在制度衔接、流程设计、人员履职等方面的短板漏洞，形成详细的审计评价报告，为后续整改提供靶向依据。九是加强信息系统的维护管理。本行通过使用桌管系统对辖内办公电脑实施全程监控管理，加强移动存储设备管理，防止违规的信息外发、拷贝等信息泄露行为，加强信息安全管理，防范信息安全问题引发操作风险。</w:t>
      </w:r>
    </w:p>
    <w:p>
      <w:pPr>
        <w:ind w:firstLine="640" w:firstLineChars="200"/>
        <w:rPr>
          <w:rFonts w:ascii="华文楷体" w:hAnsi="华文楷体" w:eastAsia="华文楷体"/>
          <w:color w:val="auto"/>
          <w:sz w:val="32"/>
          <w:szCs w:val="32"/>
          <w:highlight w:val="none"/>
        </w:rPr>
      </w:pPr>
      <w:r>
        <w:rPr>
          <w:rFonts w:hint="eastAsia" w:ascii="黑体" w:hAnsi="Times New Roman" w:eastAsia="黑体" w:cs="Times New Roman"/>
          <w:sz w:val="32"/>
          <w:szCs w:val="32"/>
          <w:highlight w:val="none"/>
          <w:lang w:val="en-US" w:eastAsia="zh-CN"/>
        </w:rPr>
        <w:t>五、</w:t>
      </w:r>
      <w:r>
        <w:rPr>
          <w:rFonts w:hint="eastAsia" w:ascii="黑体" w:hAnsi="Times New Roman" w:eastAsia="黑体" w:cs="Times New Roman"/>
          <w:sz w:val="32"/>
          <w:szCs w:val="32"/>
          <w:highlight w:val="none"/>
        </w:rPr>
        <w:t>信息技术风险管理情况</w:t>
      </w:r>
    </w:p>
    <w:p>
      <w:pPr>
        <w:autoSpaceDE w:val="0"/>
        <w:autoSpaceDN w:val="0"/>
        <w:adjustRightInd w:val="0"/>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2025年，本行积极加强完善信息科技风险管理工作，年内没有发生信息系统中断和信息科技操作风险事件。具体管理措施：一是强化责任意识，加强信息科技方面的制度建设，修订了《广东广宁农村商业银行股份有限公司信息科技风险管理办法（2025年版）》，进一步完善决策程序。二是加强网络安全和信息安全管理。本行内部网和外部网实行严格物理分离，在每台计算机上均安装了实时的查、杀病毒软件，并及时进行软件升级和定期进行查杀病毒，严禁存有单位重要数据的计算机上互联网。针对信息安全方面，本行通过使用桌管系统对辖内办公电脑实施全程监控管理，加强移动存储设备管理，同时为加强数据安全对OA终端安装文档防泄密系统，防止违规的信息外发、拷贝等信息泄露行为，办公电脑防护覆盖达到100%。三是加强日常办公设备的维护工作。本行通过对辖内各营业网点的网络设备、电脑设备、UPS备用电源、发电机及自助设备等的日常维护管理和检查，各部门及支行日常业务系统安全运转，没有发生业务中断，未发现存在重大风险隐患和风险事件；本行重要网络设备（路由器、交接机等）均有备件，总行、各支行（办理处）通信线路均采用电信+移动双网互为备份的方式接入，能够在一定程度上防止单一线路故障导致业务系统中断无法提供业务办理情况，确保了业务连续性和网络安全。四是做好员工网络安全和信息安全的培训工作。2025年本行组织全体员工开展了1次信息安全意识提升培训，进一步提升本行全体干部员工在网络安全、信息安全、数据安全等方面的安全意识，防范信息科技风险，筑牢信息科技安全基础。五是加强信息科技外包管理。本行信息科技外包无重要外包、跨境外包和非驻场外包，主要是普通系统维护类外包：为自助设备等远程终端的运维外包。在2025年第一季度及时与外包服务商签订服务合同和保密协议，同时确保维护工作时处于监控范围内，并由本行人员全程监督，保证整个过程透明、可控，信息科技外包风险总体可控。六是开展漏洞风险排查。根据国家金融监督管理总局肇庆监管分局、人民银行肇庆市中心支行和省联社银信中心下发的各项漏洞风险排查通知，本行及时组织开展大华智能物联综合管理平台高危漏洞风险排查、GTP协议漏洞排查、粤政易平台防范“银狐”木马病毒风险排查、泛微e-cology平台SQL注入漏洞风险排查、网络安全风险隐患排查等相关排查。通过排查，没有发现风险隐患。</w:t>
      </w:r>
    </w:p>
    <w:p>
      <w:pPr>
        <w:ind w:firstLine="640" w:firstLineChars="200"/>
        <w:rPr>
          <w:rFonts w:ascii="华文楷体" w:hAnsi="华文楷体" w:eastAsia="华文楷体"/>
          <w:color w:val="auto"/>
          <w:sz w:val="32"/>
          <w:szCs w:val="32"/>
          <w:highlight w:val="none"/>
        </w:rPr>
      </w:pPr>
      <w:r>
        <w:rPr>
          <w:rFonts w:hint="eastAsia" w:ascii="黑体" w:hAnsi="Times New Roman" w:eastAsia="黑体" w:cs="Times New Roman"/>
          <w:sz w:val="32"/>
          <w:szCs w:val="32"/>
          <w:highlight w:val="none"/>
          <w:lang w:val="en-US" w:eastAsia="zh-CN"/>
        </w:rPr>
        <w:t>六、</w:t>
      </w:r>
      <w:r>
        <w:rPr>
          <w:rFonts w:hint="eastAsia" w:ascii="黑体" w:hAnsi="Times New Roman" w:eastAsia="黑体" w:cs="Times New Roman"/>
          <w:sz w:val="32"/>
          <w:szCs w:val="32"/>
          <w:highlight w:val="none"/>
        </w:rPr>
        <w:t>法律和合规风险管理情况</w:t>
      </w:r>
    </w:p>
    <w:p>
      <w:pPr>
        <w:autoSpaceDE w:val="0"/>
        <w:autoSpaceDN w:val="0"/>
        <w:adjustRightInd w:val="0"/>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2025年，本行结合本行实际制定了 《广东广宁农村商业银行股份有限公司“内控合规管理强基年”活动实施方案》，成立了“内控合规管理强基年”活动工作领导小组，并在4月27日召开了“内控合规管理强基年”活动动员会议，制订工作计划、落实分工协作和主体责任，确保本次活动贯彻到位，推进到位。</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（一）积极组织开展合规案防教育培训，提高员工业务技能及案件防范能力。</w:t>
      </w:r>
    </w:p>
    <w:p>
      <w:pPr>
        <w:numPr>
          <w:ilvl w:val="0"/>
          <w:numId w:val="0"/>
        </w:numPr>
        <w:spacing w:line="560" w:lineRule="exact"/>
        <w:ind w:firstLine="640" w:firstLineChars="200"/>
        <w:rPr>
          <w:rFonts w:ascii="仿宋_GB2312" w:eastAsia="仿宋_GB2312" w:cs="仿宋_GB2312"/>
          <w:color w:val="auto"/>
          <w:sz w:val="32"/>
          <w:szCs w:val="32"/>
          <w:highlight w:val="none"/>
        </w:rPr>
      </w:pPr>
      <w:r>
        <w:rPr>
          <w:rFonts w:hint="eastAsia" w:ascii="仿宋_GB2312" w:eastAsia="仿宋_GB2312"/>
          <w:color w:val="auto"/>
          <w:sz w:val="32"/>
          <w:szCs w:val="32"/>
          <w:highlight w:val="none"/>
        </w:rPr>
        <w:t>为加强本行干部员工的业务水平、合规管理能力与风险防范能力，本行于年初制定了</w:t>
      </w:r>
      <w:r>
        <w:rPr>
          <w:rFonts w:hint="eastAsia" w:ascii="仿宋_GB2312" w:eastAsia="仿宋_GB2312" w:cs="仿宋_GB2312"/>
          <w:color w:val="auto"/>
          <w:sz w:val="32"/>
          <w:szCs w:val="32"/>
          <w:highlight w:val="none"/>
        </w:rPr>
        <w:t>2025年培训计划，结合年初制定的培训计划，本行通过集中培训、线上培训等方式组织开展了信贷业务知识、会计结算知识、合规案防知识和反洗钱业务知识等培训。经统计，2025年本行组织开展线上、线下培训共51期，参与培训人数共计8945人次</w:t>
      </w:r>
      <w:r>
        <w:rPr>
          <w:rFonts w:hint="eastAsia" w:ascii="仿宋_GB2312" w:eastAsia="仿宋_GB2312"/>
          <w:color w:val="auto"/>
          <w:kern w:val="0"/>
          <w:sz w:val="32"/>
          <w:szCs w:val="32"/>
          <w:highlight w:val="none"/>
        </w:rPr>
        <w:t>；</w:t>
      </w:r>
      <w:r>
        <w:rPr>
          <w:rFonts w:hint="eastAsia" w:ascii="仿宋_GB2312" w:eastAsia="仿宋_GB2312" w:cs="仿宋_GB2312"/>
          <w:color w:val="auto"/>
          <w:sz w:val="32"/>
          <w:szCs w:val="32"/>
          <w:highlight w:val="none"/>
        </w:rPr>
        <w:t>组织全员普法考试</w:t>
      </w:r>
      <w:r>
        <w:rPr>
          <w:rFonts w:ascii="仿宋_GB2312" w:eastAsia="仿宋_GB2312" w:cs="仿宋_GB2312"/>
          <w:color w:val="auto"/>
          <w:sz w:val="32"/>
          <w:szCs w:val="32"/>
          <w:highlight w:val="none"/>
        </w:rPr>
        <w:t>2</w:t>
      </w:r>
      <w:r>
        <w:rPr>
          <w:rFonts w:hint="eastAsia" w:ascii="仿宋_GB2312" w:eastAsia="仿宋_GB2312" w:cs="仿宋_GB2312"/>
          <w:color w:val="auto"/>
          <w:sz w:val="32"/>
          <w:szCs w:val="32"/>
          <w:highlight w:val="none"/>
        </w:rPr>
        <w:t>期，参加人数</w:t>
      </w:r>
      <w:r>
        <w:rPr>
          <w:rFonts w:ascii="仿宋_GB2312" w:eastAsia="仿宋_GB2312" w:cs="仿宋_GB2312"/>
          <w:color w:val="auto"/>
          <w:sz w:val="32"/>
          <w:szCs w:val="32"/>
          <w:highlight w:val="none"/>
        </w:rPr>
        <w:t>730</w:t>
      </w:r>
      <w:r>
        <w:rPr>
          <w:rFonts w:hint="eastAsia" w:ascii="仿宋_GB2312" w:eastAsia="仿宋_GB2312" w:cs="仿宋_GB2312"/>
          <w:color w:val="auto"/>
          <w:sz w:val="32"/>
          <w:szCs w:val="32"/>
          <w:highlight w:val="none"/>
        </w:rPr>
        <w:t>人次。通过培训和考试学习，本行全体员工的业务操作能力、法律意识和风险防范意识得到了进一步的提高。</w:t>
      </w:r>
    </w:p>
    <w:p>
      <w:pPr>
        <w:autoSpaceDE w:val="0"/>
        <w:autoSpaceDN w:val="0"/>
        <w:adjustRightInd w:val="0"/>
        <w:spacing w:line="360" w:lineRule="auto"/>
        <w:ind w:firstLine="480" w:firstLineChars="150"/>
        <w:jc w:val="left"/>
        <w:rPr>
          <w:rFonts w:hint="eastAsia" w:ascii="方正楷体_GBK" w:hAnsi="方正楷体_GBK" w:eastAsia="方正楷体_GBK" w:cs="方正楷体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（二）组织开展警示教育活动，筑牢员工思想教育防线。</w:t>
      </w:r>
    </w:p>
    <w:p>
      <w:pPr>
        <w:numPr>
          <w:ilvl w:val="0"/>
          <w:numId w:val="0"/>
        </w:numPr>
        <w:autoSpaceDE w:val="0"/>
        <w:autoSpaceDN w:val="0"/>
        <w:adjustRightInd w:val="0"/>
        <w:ind w:firstLine="643" w:firstLineChars="200"/>
        <w:jc w:val="left"/>
        <w:rPr>
          <w:rFonts w:hint="eastAsia" w:ascii="仿宋_GB2312" w:eastAsia="仿宋_GB2312" w:cs="仿宋_GB2312"/>
          <w:color w:val="FF0000"/>
          <w:sz w:val="32"/>
          <w:szCs w:val="32"/>
          <w:highlight w:val="none"/>
        </w:rPr>
      </w:pPr>
      <w:r>
        <w:rPr>
          <w:rFonts w:hint="eastAsia" w:ascii="仿宋_GB2312" w:eastAsia="仿宋_GB2312" w:cs="仿宋_GB2312"/>
          <w:b/>
          <w:bCs/>
          <w:color w:val="auto"/>
          <w:sz w:val="32"/>
          <w:szCs w:val="32"/>
          <w:highlight w:val="none"/>
        </w:rPr>
        <w:t>一是</w:t>
      </w:r>
      <w:r>
        <w:rPr>
          <w:rFonts w:hint="eastAsia" w:ascii="仿宋_GB2312" w:eastAsia="仿宋_GB2312" w:cs="仿宋_GB2312"/>
          <w:color w:val="auto"/>
          <w:sz w:val="32"/>
          <w:szCs w:val="32"/>
          <w:highlight w:val="none"/>
        </w:rPr>
        <w:t>为进一步强化干部员工的合规守法意识，2025年4月本行组织开展了全员合规警示教育活动，总行纪委办公室、内审部、办公室、合规与风险管理部负责人分别围绕身边案例、柜面业务问题、员工异常行为管理和印章管理等内容进行讲解，并观看了廉政教育系列参考片《重任在肩—年轻干部违纪违法案件警示录》等，以身边事教育身边人，积极引导全体干部员工提高合规意识、强化职业操守，全面树牢“合规创造价值、违规滋生风险”的理念。二</w:t>
      </w:r>
      <w:r>
        <w:rPr>
          <w:rFonts w:hint="eastAsia" w:ascii="仿宋_GB2312" w:eastAsia="仿宋_GB2312" w:cs="仿宋_GB2312"/>
          <w:b/>
          <w:bCs/>
          <w:color w:val="auto"/>
          <w:sz w:val="32"/>
          <w:szCs w:val="32"/>
          <w:highlight w:val="none"/>
        </w:rPr>
        <w:t>是</w:t>
      </w:r>
      <w:r>
        <w:rPr>
          <w:rFonts w:hint="eastAsia" w:ascii="仿宋_GB2312" w:eastAsia="仿宋_GB2312" w:cs="仿宋_GB2312"/>
          <w:color w:val="auto"/>
          <w:sz w:val="32"/>
          <w:szCs w:val="32"/>
          <w:highlight w:val="none"/>
        </w:rPr>
        <w:t>为充分利用典型案例的警示教育作用，推动警示教育走深走实，本行于2025年9月组织各单位通过晨会和班后会、于2025年12月通过广东农信在线学习平台组织员工学习《重点领域典型涉刑案例汇编》。</w:t>
      </w:r>
      <w:r>
        <w:rPr>
          <w:rFonts w:hint="eastAsia" w:ascii="仿宋_GB2312" w:eastAsia="仿宋_GB2312" w:cs="仿宋_GB2312"/>
          <w:b/>
          <w:bCs/>
          <w:color w:val="auto"/>
          <w:sz w:val="32"/>
          <w:szCs w:val="32"/>
          <w:highlight w:val="none"/>
        </w:rPr>
        <w:t>三是</w:t>
      </w:r>
      <w:r>
        <w:rPr>
          <w:rFonts w:hint="eastAsia" w:ascii="仿宋_GB2312" w:eastAsia="仿宋_GB2312" w:cs="仿宋_GB2312"/>
          <w:color w:val="auto"/>
          <w:sz w:val="32"/>
          <w:szCs w:val="32"/>
          <w:highlight w:val="none"/>
        </w:rPr>
        <w:t>为进一步增强党员干部廉洁自律意识，筑牢拒腐防变的思想防线，本行于2025年10月17日组织党委班子成员、总行相关部门、各一级支行负责人赴广东省肇庆监狱开展警示教育活动。通过组织党员干部们“零距离”实地参观劳动车间、监狱监舍、训练操场等活动场所，让党员干部们感受到高墙内外的巨大反差，增强其对党纪国法的敬畏之心，教育引导干部员工知敬畏、存戒惧、守底线。四</w:t>
      </w:r>
      <w:r>
        <w:rPr>
          <w:rFonts w:ascii="仿宋_GB2312" w:eastAsia="仿宋_GB2312" w:cs="仿宋_GB2312"/>
          <w:color w:val="auto"/>
          <w:sz w:val="32"/>
          <w:szCs w:val="32"/>
          <w:highlight w:val="none"/>
        </w:rPr>
        <w:t>是</w:t>
      </w:r>
      <w:r>
        <w:rPr>
          <w:rFonts w:hint="eastAsia" w:ascii="仿宋_GB2312" w:eastAsia="仿宋_GB2312" w:cs="仿宋_GB2312"/>
          <w:color w:val="auto"/>
          <w:sz w:val="32"/>
          <w:szCs w:val="32"/>
          <w:highlight w:val="none"/>
        </w:rPr>
        <w:t>为深入学习贯彻法治思想，进一步加强干部职工的法治教育和廉洁从业意识，2025年12月3日，本行开展了2025年线上旁听庭审警示教育活动，组织干部员工通过登录“中国庭审公开网”在线集中收看金融借款合同纠纷案件和职务犯罪案件的审理。通过旁听庭审活动让干部员工更直观地了解法院庭审的整个过程，同时也让全员直观感受到法律的威严和违法违纪付出的代价，实现了“旁听一案、警示一片”的教育效果。</w:t>
      </w:r>
      <w:r>
        <w:rPr>
          <w:rFonts w:hint="eastAsia" w:ascii="仿宋_GB2312" w:eastAsia="仿宋_GB2312"/>
          <w:color w:val="auto"/>
          <w:sz w:val="32"/>
          <w:szCs w:val="32"/>
          <w:highlight w:val="none"/>
        </w:rPr>
        <w:t>通过落实各项措施，进一步提升</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全体员工的业务操作能力、法律法规知识和案件防控能力，增强合规审慎和风险防范意识</w:t>
      </w:r>
      <w:r>
        <w:rPr>
          <w:rFonts w:hint="eastAsia" w:ascii="仿宋_GB2312" w:eastAsia="仿宋_GB2312" w:cs="仿宋_GB2312"/>
          <w:color w:val="auto"/>
          <w:sz w:val="32"/>
          <w:szCs w:val="32"/>
          <w:highlight w:val="none"/>
        </w:rPr>
        <w:t>。</w:t>
      </w:r>
    </w:p>
    <w:p>
      <w:pPr>
        <w:autoSpaceDE w:val="0"/>
        <w:autoSpaceDN w:val="0"/>
        <w:adjustRightInd w:val="0"/>
        <w:ind w:firstLine="640" w:firstLineChars="200"/>
        <w:jc w:val="left"/>
        <w:rPr>
          <w:rFonts w:hint="eastAsia" w:ascii="华文楷体" w:hAnsi="华文楷体" w:eastAsia="华文楷体"/>
          <w:color w:val="auto"/>
          <w:sz w:val="32"/>
          <w:szCs w:val="32"/>
          <w:highlight w:val="none"/>
          <w:lang w:eastAsia="zh-CN"/>
        </w:rPr>
      </w:pPr>
      <w:r>
        <w:rPr>
          <w:rFonts w:hint="eastAsia" w:ascii="黑体" w:eastAsia="黑体" w:cs="Times New Roman"/>
          <w:sz w:val="32"/>
          <w:szCs w:val="32"/>
          <w:highlight w:val="none"/>
          <w:lang w:val="en-US" w:eastAsia="zh-CN"/>
        </w:rPr>
        <w:t>七、</w:t>
      </w:r>
      <w:r>
        <w:rPr>
          <w:rFonts w:hint="eastAsia" w:ascii="黑体" w:hAnsi="Times New Roman" w:eastAsia="黑体" w:cs="Times New Roman"/>
          <w:sz w:val="32"/>
          <w:szCs w:val="32"/>
          <w:highlight w:val="none"/>
        </w:rPr>
        <w:t>声誉风险管理方面</w:t>
      </w:r>
    </w:p>
    <w:p>
      <w:pPr>
        <w:ind w:firstLine="640" w:firstLineChars="200"/>
        <w:rPr>
          <w:rFonts w:hint="eastAsia" w:ascii="宋体" w:hAnsi="宋体" w:eastAsia="宋体" w:cs="宋体"/>
          <w:b/>
          <w:bCs/>
          <w:kern w:val="0"/>
          <w:sz w:val="32"/>
          <w:szCs w:val="32"/>
          <w:highlight w:val="none"/>
          <w:lang w:val="en-US" w:eastAsia="zh-CN"/>
        </w:rPr>
      </w:pP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根据上级监管部门和省联社的相关要求，坚持以完善组织体系、加强声誉风险监测报送、建立预警及处置机制为导向，扎实做好舆情事件防控工作，为</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经营发展营造良好的金融环境，202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未发生声誉风险事件。具体管理措施：一是加强对苗头性声誉风险隐患事件的处置。</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积极开通及应用网络舆论监测系统，全天候、多平台地持续针对网络舆情进行风险监测。同时通过在各支行、各部室设置舆情监测联络员，形成线上线下监测合力，通过及时发现、强化汇报、迅速处置的方式，及时、高效地将苗头性声誉风险隐患事件扼杀在摇篮中，杜绝了声誉风险进一步扩散的可能性，确保有效抑制舆情风险事件的发生。二是建立应急预案。为在舆情风险事件造成损失前，采取必要、有效的措施化解舆情风险或将舆情事件的影响降至最低，</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印发了舆情声誉风险突发事件处置预案。坚持“区别对待、疏堵结合”的原则，在第一时间深入调查舆情发生原因并及时上报，明确责任和分工。同时加强与政府、监管部门、公安机关等有关部门的联系沟通，确保有效抑制舆情风险事件的进一步扩散。三是强化培训演练。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共组织开展了一次舆情演练和一次舆情风险管理培训，不断提高舆情应变能力。四是针对防范非法集资、个人信息保护、防范电信网络诈骗等在微信公众号和朋友圈进行宣传，提升金融消费者风险防范意识和能力，提高</w:t>
      </w:r>
      <w:r>
        <w:rPr>
          <w:rFonts w:hint="eastAsia" w:ascii="仿宋_GB2312" w:eastAsia="仿宋_GB2312"/>
          <w:color w:val="auto"/>
          <w:sz w:val="32"/>
          <w:szCs w:val="32"/>
          <w:highlight w:val="none"/>
          <w:lang w:eastAsia="zh-CN"/>
        </w:rPr>
        <w:t>本行</w:t>
      </w:r>
      <w:r>
        <w:rPr>
          <w:rFonts w:hint="eastAsia" w:ascii="仿宋_GB2312" w:eastAsia="仿宋_GB2312"/>
          <w:color w:val="auto"/>
          <w:sz w:val="32"/>
          <w:szCs w:val="32"/>
          <w:highlight w:val="none"/>
        </w:rPr>
        <w:t>正面形象。五是做好关键节点的声誉风险防控工作。针对当前经营发展的重点环节，在股金分红、账户管控、节假日、全国“两会”等关键节点，持续加强舆情监测，通过下发温馨提醒、设立舆情监测联络员等方法不断加大舆情风险防范力度，筑牢舆情风险防范底线。</w:t>
      </w:r>
    </w:p>
    <w:p>
      <w:pPr>
        <w:rPr>
          <w:rFonts w:hint="eastAsia" w:ascii="方正小标宋_GBK" w:hAnsi="方正小标宋_GBK" w:eastAsia="方正小标宋_GBK" w:cs="方正小标宋_GBK"/>
          <w:b w:val="0"/>
          <w:bCs w:val="0"/>
          <w:kern w:val="2"/>
          <w:sz w:val="36"/>
          <w:szCs w:val="36"/>
          <w:highlight w:val="none"/>
          <w:lang w:val="en-US" w:eastAsia="zh-CN" w:bidi="ar-SA"/>
        </w:rPr>
      </w:pPr>
    </w:p>
    <w:p>
      <w:pPr>
        <w:numPr>
          <w:ilvl w:val="0"/>
          <w:numId w:val="0"/>
        </w:numPr>
        <w:spacing w:line="360" w:lineRule="auto"/>
        <w:jc w:val="center"/>
        <w:rPr>
          <w:rFonts w:hint="eastAsia"/>
          <w:color w:val="FF0000"/>
          <w:highlight w:val="none"/>
          <w:lang w:val="en-US" w:eastAsia="zh-CN"/>
        </w:rPr>
      </w:pPr>
      <w:r>
        <w:rPr>
          <w:rFonts w:hint="eastAsia" w:ascii="方正小标宋_GBK" w:hAnsi="方正小标宋_GBK" w:eastAsia="方正小标宋_GBK" w:cs="方正小标宋_GBK"/>
          <w:b w:val="0"/>
          <w:bCs w:val="0"/>
          <w:kern w:val="2"/>
          <w:sz w:val="36"/>
          <w:szCs w:val="36"/>
          <w:highlight w:val="none"/>
          <w:lang w:val="en-US" w:eastAsia="zh-CN" w:bidi="ar-SA"/>
        </w:rPr>
        <w:t>第十一节 履行社会责任</w:t>
      </w:r>
    </w:p>
    <w:p>
      <w:pPr>
        <w:pStyle w:val="4"/>
        <w:rPr>
          <w:rFonts w:hint="eastAsia"/>
          <w:highlight w:val="none"/>
          <w:lang w:val="en-US" w:eastAsia="zh-CN"/>
        </w:rPr>
      </w:pPr>
    </w:p>
    <w:p>
      <w:pPr>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报告期内，本行认真贯彻落实党中央和国家各项金融方针政策，充分发挥农村金融主力军的作用，深耕县城，努力做好绿色信贷、普惠金融、加大信贷投放力度，服务实体增量提质。</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认真履行社会责任，展现企业社会担当。本行积极落实总行党委推进社会责任长效机制，多措并举把发展成果回馈社会。一是继续向南街街道选派乡村振兴工作队队员和驻黄坪村第一书记，支持农村基层党建工作，助力发展高效农业产业，推动乡村振兴。二是推进绿美乡村建设，助力农村人居环境整治。先后支持南街街道、横山镇、坑口镇等镇村乡村振兴资金5万元。扶持农村经济增加农民收入，鼓励员工购买帮扶农民的农产品支持乡村振兴。三是热心支持广宁文旅事业，出资赞助支持我县开展新春龙狮大巡游、农文旅体商促消费活动、云吞美食文化推介、全国校园武术试点学校交流赛、乡村歌手大赛、古水河徒步大会、大湾区西（肇庆广宁）百公里骑行等活动，在助力广宁文旅事业的基础上，大大提升了广宁农商银行的社会形象。四是积极参与社会精神文明建设，组织开展灭蚊、义务植树、抗洪救灾、城市建设、创文巩卫、人居环境整治、文明交通劝导等志愿活动150多人次，有效推进我县民生事业发展提升农村人居环境。</w:t>
      </w:r>
    </w:p>
    <w:p>
      <w:pPr>
        <w:pStyle w:val="2"/>
        <w:rPr>
          <w:rFonts w:hint="eastAsia" w:ascii="仿宋_GB2312" w:eastAsia="仿宋_GB2312"/>
          <w:color w:val="auto"/>
          <w:sz w:val="32"/>
          <w:szCs w:val="32"/>
          <w:highlight w:val="none"/>
          <w:lang w:val="en-US" w:eastAsia="zh-CN"/>
        </w:rPr>
      </w:pPr>
    </w:p>
    <w:p>
      <w:pPr>
        <w:rPr>
          <w:rFonts w:hint="eastAsia"/>
          <w:lang w:val="en-US" w:eastAsia="zh-CN"/>
        </w:rPr>
      </w:pPr>
    </w:p>
    <w:p>
      <w:pPr>
        <w:pStyle w:val="18"/>
        <w:numPr>
          <w:ilvl w:val="0"/>
          <w:numId w:val="7"/>
        </w:numPr>
        <w:spacing w:line="360" w:lineRule="auto"/>
        <w:ind w:left="0" w:leftChars="0" w:firstLine="720" w:firstLineChars="200"/>
        <w:jc w:val="center"/>
        <w:rPr>
          <w:rFonts w:hint="eastAsia" w:ascii="方正小标宋_GBK" w:hAnsi="方正小标宋_GBK" w:eastAsia="方正小标宋_GBK" w:cs="方正小标宋_GBK"/>
          <w:b w:val="0"/>
          <w:bCs w:val="0"/>
          <w:kern w:val="2"/>
          <w:sz w:val="36"/>
          <w:szCs w:val="36"/>
          <w:highlight w:val="none"/>
          <w:lang w:val="en-US" w:eastAsia="zh-CN" w:bidi="ar-SA"/>
        </w:rPr>
      </w:pPr>
      <w:bookmarkStart w:id="38" w:name="_Toc19800"/>
      <w:bookmarkStart w:id="39" w:name="_Toc27404"/>
      <w:bookmarkStart w:id="40" w:name="_Toc13967"/>
      <w:bookmarkStart w:id="41" w:name="_Toc32172"/>
      <w:r>
        <w:rPr>
          <w:rFonts w:hint="eastAsia" w:ascii="方正小标宋_GBK" w:hAnsi="方正小标宋_GBK" w:eastAsia="方正小标宋_GBK" w:cs="方正小标宋_GBK"/>
          <w:b w:val="0"/>
          <w:bCs w:val="0"/>
          <w:kern w:val="2"/>
          <w:sz w:val="36"/>
          <w:szCs w:val="36"/>
          <w:highlight w:val="none"/>
          <w:lang w:val="en-US" w:eastAsia="zh-CN" w:bidi="ar-SA"/>
        </w:rPr>
        <w:t>重要事项</w:t>
      </w:r>
      <w:bookmarkEnd w:id="38"/>
      <w:bookmarkEnd w:id="39"/>
      <w:bookmarkEnd w:id="40"/>
      <w:bookmarkEnd w:id="41"/>
    </w:p>
    <w:p>
      <w:pPr>
        <w:numPr>
          <w:ilvl w:val="0"/>
          <w:numId w:val="0"/>
        </w:numPr>
        <w:ind w:leftChars="200"/>
        <w:rPr>
          <w:rFonts w:hint="eastAsia"/>
          <w:lang w:val="en-US" w:eastAsia="zh-CN"/>
        </w:rPr>
      </w:pPr>
    </w:p>
    <w:p>
      <w:pPr>
        <w:autoSpaceDE w:val="0"/>
        <w:autoSpaceDN w:val="0"/>
        <w:adjustRightInd w:val="0"/>
        <w:spacing w:line="360" w:lineRule="auto"/>
        <w:ind w:firstLine="480" w:firstLineChars="150"/>
        <w:jc w:val="left"/>
        <w:rPr>
          <w:rFonts w:hint="eastAsia" w:ascii="仿宋_GB2312" w:hAnsi="仿宋_GB2312" w:eastAsia="仿宋_GB2312" w:cs="仿宋_GB2312"/>
          <w:b/>
          <w:bCs/>
          <w:color w:val="FF0000"/>
          <w:kern w:val="0"/>
          <w:sz w:val="32"/>
          <w:szCs w:val="32"/>
          <w:highlight w:val="none"/>
          <w:lang w:val="en-US" w:eastAsia="zh-CN"/>
        </w:rPr>
      </w:pPr>
      <w:r>
        <w:rPr>
          <w:rFonts w:hint="eastAsia" w:ascii="黑体" w:hAnsi="Times New Roman" w:eastAsia="黑体" w:cs="Times New Roman"/>
          <w:sz w:val="32"/>
          <w:szCs w:val="32"/>
          <w:highlight w:val="none"/>
          <w:lang w:val="en-US" w:eastAsia="zh-CN"/>
        </w:rPr>
        <w:t>一、最大十名股东名称及报告期内变动情况</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报告期内，本行最大十名股东变动情况详见第三节（二）报告期末最大十名股东及报告期内变动情况表。</w:t>
      </w:r>
    </w:p>
    <w:p>
      <w:pPr>
        <w:autoSpaceDE w:val="0"/>
        <w:autoSpaceDN w:val="0"/>
        <w:adjustRightInd w:val="0"/>
        <w:spacing w:line="360" w:lineRule="auto"/>
        <w:ind w:firstLine="480" w:firstLineChars="150"/>
        <w:jc w:val="left"/>
        <w:rPr>
          <w:rFonts w:ascii="黑体" w:eastAsia="黑体" w:cs="黑体"/>
          <w:kern w:val="0"/>
          <w:sz w:val="30"/>
          <w:szCs w:val="30"/>
          <w:highlight w:val="none"/>
        </w:rPr>
      </w:pPr>
      <w:r>
        <w:rPr>
          <w:rFonts w:hint="eastAsia" w:ascii="黑体" w:hAnsi="Times New Roman" w:eastAsia="黑体" w:cs="Times New Roman"/>
          <w:sz w:val="32"/>
          <w:szCs w:val="32"/>
          <w:highlight w:val="none"/>
        </w:rPr>
        <w:t>二、增加或减少注册资本、分立合并事项</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报告期内，本行无增加或减少注册资本。</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报告期内，本行无分立合并事项。</w:t>
      </w:r>
    </w:p>
    <w:p>
      <w:pPr>
        <w:autoSpaceDE w:val="0"/>
        <w:autoSpaceDN w:val="0"/>
        <w:adjustRightInd w:val="0"/>
        <w:spacing w:line="360" w:lineRule="auto"/>
        <w:ind w:firstLine="480" w:firstLineChars="150"/>
        <w:jc w:val="left"/>
        <w:rPr>
          <w:rFonts w:hint="eastAsia" w:ascii="黑体" w:eastAsia="黑体" w:cs="仿宋_GB2312"/>
          <w:color w:val="FF0000"/>
          <w:kern w:val="0"/>
          <w:sz w:val="30"/>
          <w:szCs w:val="30"/>
          <w:highlight w:val="none"/>
          <w:lang w:eastAsia="zh-CN"/>
        </w:rPr>
      </w:pPr>
      <w:r>
        <w:rPr>
          <w:rFonts w:hint="eastAsia" w:ascii="黑体" w:hAnsi="Times New Roman" w:eastAsia="黑体" w:cs="Times New Roman"/>
          <w:sz w:val="32"/>
          <w:szCs w:val="32"/>
          <w:highlight w:val="none"/>
        </w:rPr>
        <w:t>三、聘用、解聘会计师事务所情况</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本行聘请了安礼华粤（广东）会计师事务所（特殊普通合伙）对本行进行2025年度审计工作。</w:t>
      </w:r>
    </w:p>
    <w:p>
      <w:pPr>
        <w:autoSpaceDE w:val="0"/>
        <w:autoSpaceDN w:val="0"/>
        <w:adjustRightInd w:val="0"/>
        <w:spacing w:line="360" w:lineRule="auto"/>
        <w:ind w:firstLine="480" w:firstLineChars="150"/>
        <w:jc w:val="left"/>
        <w:rPr>
          <w:rFonts w:ascii="黑体" w:eastAsia="黑体" w:cs="仿宋_GB2312"/>
          <w:kern w:val="0"/>
          <w:sz w:val="30"/>
          <w:szCs w:val="30"/>
          <w:highlight w:val="none"/>
        </w:rPr>
      </w:pPr>
      <w:r>
        <w:rPr>
          <w:rFonts w:hint="eastAsia" w:ascii="黑体" w:hAnsi="Times New Roman" w:eastAsia="黑体" w:cs="Times New Roman"/>
          <w:sz w:val="32"/>
          <w:szCs w:val="32"/>
          <w:highlight w:val="none"/>
        </w:rPr>
        <w:t>四、股东股权出质情况</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报期内，本行已办理股权质押股东户数9户，质押股权6277.9132万股，全行股权质押比例为16.53%，其中已质押股权涉及被司法冻结情况如下：</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（一）广宁县君州房地产有限公司持有股权2273.53万股，已质押股权2121.6万股，质押比例为93.32%；</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（二）肇庆汇利贸易有限公司持有股权1307.28万股，已质押股权949.92万股，质押比例为72.66%；</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（三）杨春光持有股权176.2万股，已质押股权176.2万股，质押比例为100%。</w:t>
      </w:r>
    </w:p>
    <w:p>
      <w:pPr>
        <w:autoSpaceDE w:val="0"/>
        <w:autoSpaceDN w:val="0"/>
        <w:adjustRightInd w:val="0"/>
        <w:spacing w:line="360" w:lineRule="auto"/>
        <w:ind w:firstLine="480" w:firstLineChars="150"/>
        <w:jc w:val="left"/>
        <w:rPr>
          <w:rFonts w:hint="eastAsia" w:ascii="黑体" w:hAnsi="Times New Roman" w:eastAsia="黑体" w:cs="仿宋_GB2312"/>
          <w:color w:val="auto"/>
          <w:kern w:val="0"/>
          <w:sz w:val="30"/>
          <w:szCs w:val="30"/>
          <w:highlight w:val="none"/>
          <w:lang w:val="en-US" w:eastAsia="zh-CN"/>
        </w:rPr>
      </w:pPr>
      <w:r>
        <w:rPr>
          <w:rFonts w:hint="eastAsia" w:ascii="黑体" w:hAnsi="Times New Roman" w:eastAsia="黑体" w:cs="Times New Roman"/>
          <w:sz w:val="32"/>
          <w:szCs w:val="32"/>
          <w:highlight w:val="none"/>
          <w:lang w:val="en-US" w:eastAsia="zh-CN"/>
        </w:rPr>
        <w:t>五、关联交易情况</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2025年度，本行发生一般关联交易4笔，重大关联交易0笔。最大集团关联方授信余额128.33万元，占2025年12月末本行资本净额的0.16%。全部关联方存量贷款12笔，余额265.78万元，占2025年12月末本行资本净额的0.34%，符合监管要求。</w:t>
      </w:r>
    </w:p>
    <w:p>
      <w:pPr>
        <w:autoSpaceDE w:val="0"/>
        <w:autoSpaceDN w:val="0"/>
        <w:adjustRightInd w:val="0"/>
        <w:spacing w:line="360" w:lineRule="auto"/>
        <w:ind w:firstLine="480" w:firstLineChars="150"/>
        <w:jc w:val="left"/>
        <w:rPr>
          <w:rFonts w:hint="eastAsia" w:ascii="仿宋_GB2312" w:hAnsi="仿宋_GB2312" w:eastAsia="仿宋_GB2312" w:cs="仿宋_GB2312"/>
          <w:b/>
          <w:bCs/>
          <w:color w:val="FF0000"/>
          <w:kern w:val="0"/>
          <w:sz w:val="32"/>
          <w:szCs w:val="32"/>
          <w:highlight w:val="none"/>
          <w:lang w:val="en-US" w:eastAsia="zh-CN"/>
        </w:rPr>
      </w:pPr>
      <w:r>
        <w:rPr>
          <w:rFonts w:hint="eastAsia" w:ascii="黑体" w:hAnsi="Times New Roman" w:eastAsia="黑体" w:cs="Times New Roman"/>
          <w:sz w:val="32"/>
          <w:szCs w:val="32"/>
          <w:highlight w:val="none"/>
          <w:lang w:val="en-US" w:eastAsia="zh-CN"/>
        </w:rPr>
        <w:t>六</w:t>
      </w:r>
      <w:r>
        <w:rPr>
          <w:rFonts w:hint="eastAsia" w:ascii="黑体" w:hAnsi="Times New Roman" w:eastAsia="黑体" w:cs="Times New Roman"/>
          <w:sz w:val="32"/>
          <w:szCs w:val="32"/>
          <w:highlight w:val="none"/>
        </w:rPr>
        <w:t>、重大诉讼、仲裁事项</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报告期内，本行无发生重大诉讼、仲裁事项。</w:t>
      </w:r>
      <w:bookmarkStart w:id="42" w:name="_Toc6410"/>
      <w:bookmarkStart w:id="43" w:name="_Toc9049"/>
      <w:bookmarkStart w:id="44" w:name="_Toc32266"/>
      <w:bookmarkStart w:id="45" w:name="_Toc21813"/>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p>
    <w:p>
      <w:pPr>
        <w:tabs>
          <w:tab w:val="left" w:pos="1980"/>
          <w:tab w:val="left" w:pos="7426"/>
        </w:tabs>
        <w:spacing w:line="360" w:lineRule="auto"/>
        <w:ind w:firstLine="640" w:firstLineChars="200"/>
        <w:jc w:val="center"/>
        <w:rPr>
          <w:rFonts w:hint="eastAsia" w:ascii="仿宋_GB2312" w:eastAsia="仿宋_GB2312"/>
          <w:color w:val="auto"/>
          <w:sz w:val="32"/>
          <w:szCs w:val="32"/>
          <w:highlight w:val="none"/>
          <w:lang w:val="en-US" w:eastAsia="zh-CN"/>
        </w:rPr>
      </w:pPr>
    </w:p>
    <w:p>
      <w:pPr>
        <w:tabs>
          <w:tab w:val="left" w:pos="1980"/>
          <w:tab w:val="left" w:pos="7426"/>
        </w:tabs>
        <w:spacing w:line="360" w:lineRule="auto"/>
        <w:ind w:firstLine="640" w:firstLineChars="200"/>
        <w:jc w:val="center"/>
        <w:rPr>
          <w:rFonts w:hint="eastAsia" w:ascii="仿宋_GB2312" w:eastAsia="仿宋_GB2312"/>
          <w:color w:val="auto"/>
          <w:sz w:val="32"/>
          <w:szCs w:val="32"/>
          <w:highlight w:val="none"/>
          <w:lang w:val="en-US" w:eastAsia="zh-CN"/>
        </w:rPr>
      </w:pPr>
    </w:p>
    <w:p>
      <w:pPr>
        <w:tabs>
          <w:tab w:val="left" w:pos="1980"/>
          <w:tab w:val="left" w:pos="7426"/>
        </w:tabs>
        <w:spacing w:line="360" w:lineRule="auto"/>
        <w:ind w:firstLine="720" w:firstLineChars="200"/>
        <w:jc w:val="center"/>
        <w:rPr>
          <w:rFonts w:hint="eastAsia" w:eastAsia="宋体" w:cs="Times New Roman"/>
          <w:b/>
          <w:bCs/>
          <w:color w:val="FF0000"/>
          <w:kern w:val="2"/>
          <w:sz w:val="32"/>
          <w:szCs w:val="32"/>
          <w:highlight w:val="none"/>
          <w:lang w:val="en-US" w:eastAsia="zh-CN" w:bidi="ar-SA"/>
        </w:rPr>
      </w:pPr>
      <w:r>
        <w:rPr>
          <w:rFonts w:hint="eastAsia" w:ascii="方正小标宋_GBK" w:hAnsi="方正小标宋_GBK" w:eastAsia="方正小标宋_GBK" w:cs="方正小标宋_GBK"/>
          <w:b w:val="0"/>
          <w:bCs w:val="0"/>
          <w:kern w:val="2"/>
          <w:sz w:val="36"/>
          <w:szCs w:val="36"/>
          <w:highlight w:val="none"/>
          <w:lang w:val="en-US" w:eastAsia="zh-CN" w:bidi="ar-SA"/>
        </w:rPr>
        <w:t>第十三节 年度大事记</w:t>
      </w:r>
    </w:p>
    <w:bookmarkEnd w:id="42"/>
    <w:bookmarkEnd w:id="43"/>
    <w:bookmarkEnd w:id="44"/>
    <w:bookmarkEnd w:id="45"/>
    <w:p>
      <w:pPr>
        <w:spacing w:line="360" w:lineRule="auto"/>
        <w:rPr>
          <w:rFonts w:hint="eastAsia"/>
          <w:highlight w:val="none"/>
          <w:lang w:val="en-US" w:eastAsia="zh-CN"/>
        </w:rPr>
      </w:pPr>
    </w:p>
    <w:p>
      <w:pPr>
        <w:autoSpaceDE w:val="0"/>
        <w:autoSpaceDN w:val="0"/>
        <w:adjustRightInd w:val="0"/>
        <w:spacing w:line="360" w:lineRule="auto"/>
        <w:ind w:firstLine="480" w:firstLineChars="150"/>
        <w:jc w:val="left"/>
        <w:rPr>
          <w:rFonts w:hint="eastAsia" w:ascii="黑体" w:hAnsi="Times New Roman" w:eastAsia="黑体" w:cs="Times New Roman"/>
          <w:sz w:val="32"/>
          <w:szCs w:val="32"/>
          <w:highlight w:val="none"/>
          <w:lang w:val="en-US" w:eastAsia="zh-CN"/>
        </w:rPr>
      </w:pPr>
      <w:r>
        <w:rPr>
          <w:rFonts w:hint="eastAsia" w:ascii="黑体" w:hAnsi="Times New Roman" w:eastAsia="黑体" w:cs="Times New Roman"/>
          <w:sz w:val="32"/>
          <w:szCs w:val="32"/>
          <w:highlight w:val="none"/>
          <w:lang w:val="en-US" w:eastAsia="zh-CN"/>
        </w:rPr>
        <w:t>一、2025年度获得的荣誉</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（一）1月，广宁农商银行荣获“安全防范先进集体”荣誉称号；</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（二）4月，广宁农商银行荣获“2024年度肇庆市金融机构服务乡村振兴考核评估中获评优秀等级”；</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（三）5月，广宁农商银行荣获“2024年度绩效考核最佳奖项——优秀奖”；</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（四）9月，广宁农商银行荣获“全市银行业金融机构安全评估工作表现优秀单位”；</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（五）11月，广宁农商银行荣获广宁县2025年微型消防站业务技能系列挑战赛--荣获工厂企业类团体总分第一名；</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（七）11月，广宁农商银行荣获“肇庆市2025年微型消防站业务技能系列挑战赛团体二等奖”；</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（八）12月，广宁农商银行荣获“安全防范先进集体”荣誉称号。</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（九）12月，广宁农商银行荣获荣获“县政府感谢信赞誉”。</w:t>
      </w:r>
    </w:p>
    <w:p>
      <w:pPr>
        <w:autoSpaceDE w:val="0"/>
        <w:autoSpaceDN w:val="0"/>
        <w:adjustRightInd w:val="0"/>
        <w:spacing w:line="360" w:lineRule="auto"/>
        <w:ind w:firstLine="480" w:firstLineChars="150"/>
        <w:jc w:val="left"/>
        <w:rPr>
          <w:rFonts w:hint="eastAsia" w:ascii="黑体" w:hAnsi="Times New Roman" w:eastAsia="黑体" w:cs="Times New Roman"/>
          <w:sz w:val="32"/>
          <w:szCs w:val="32"/>
          <w:highlight w:val="none"/>
          <w:lang w:val="en-US" w:eastAsia="zh-CN"/>
        </w:rPr>
      </w:pPr>
      <w:r>
        <w:rPr>
          <w:rFonts w:hint="eastAsia" w:ascii="黑体" w:hAnsi="Times New Roman" w:eastAsia="黑体" w:cs="Times New Roman"/>
          <w:sz w:val="32"/>
          <w:szCs w:val="32"/>
          <w:highlight w:val="none"/>
          <w:lang w:val="en-US" w:eastAsia="zh-CN"/>
        </w:rPr>
        <w:t>二、2025年度大事记</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（一）1月20日，广宁农商银行荣获“安全防范先进集体”荣誉称号；</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（二）3月20日，广宁县小微企业融资协调机制政策宣讲暨政银企对接会在广宁农商银行总行八楼会议室成功举行；</w:t>
      </w:r>
    </w:p>
    <w:p>
      <w:pPr>
        <w:tabs>
          <w:tab w:val="left" w:pos="1980"/>
          <w:tab w:val="left" w:pos="7426"/>
        </w:tabs>
        <w:spacing w:line="360" w:lineRule="auto"/>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（三）6月30日，“天河广宁齐携手，助力百千万工程--天凝丝丹笋品鉴推广会”广宁农商银行作为广宁县金融机构代表参与活动，为广宁丹丝笋产业发展注入金融活水；</w:t>
      </w:r>
    </w:p>
    <w:p>
      <w:pPr>
        <w:tabs>
          <w:tab w:val="left" w:pos="1980"/>
          <w:tab w:val="left" w:pos="7426"/>
        </w:tabs>
        <w:spacing w:line="360" w:lineRule="auto"/>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（四）7月16日，政银携手注入金融活水，激发创业就业新动能--广宁农商银行联合召开广宁县创业担保贷款工作推进会暨合作签订仪式；</w:t>
      </w:r>
    </w:p>
    <w:p>
      <w:pPr>
        <w:tabs>
          <w:tab w:val="left" w:pos="1980"/>
          <w:tab w:val="left" w:pos="7426"/>
        </w:tabs>
        <w:spacing w:line="360" w:lineRule="auto"/>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（五）7月30日，广宁农商银行成功举办“智慧崇军 金融护航”军创企业赋能行动暨退役军人创业贷款授信仪式；</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（六）8月7日，广宁农商银行联合广宁县妇联召开妇女创业小额担保贷款工作座谈会；</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（七）10月23日，广宁农商银行承办的“金融赋能 贴息惠企--广东省制造业和高新技术企业贷款贴息政策宣讲会”在本行八楼会议室成功举办。</w:t>
      </w:r>
      <w:bookmarkStart w:id="46" w:name="_Toc10342"/>
      <w:bookmarkStart w:id="47" w:name="_Toc3263"/>
      <w:bookmarkStart w:id="48" w:name="_Toc7346"/>
      <w:bookmarkStart w:id="49" w:name="_Toc10995"/>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p>
    <w:p>
      <w:pPr>
        <w:tabs>
          <w:tab w:val="left" w:pos="1980"/>
          <w:tab w:val="left" w:pos="7426"/>
        </w:tabs>
        <w:spacing w:line="360" w:lineRule="auto"/>
        <w:ind w:firstLine="720" w:firstLineChars="200"/>
        <w:jc w:val="center"/>
        <w:rPr>
          <w:rFonts w:hint="eastAsia" w:ascii="方正小标宋_GBK" w:hAnsi="方正小标宋_GBK" w:eastAsia="方正小标宋_GBK" w:cs="方正小标宋_GBK"/>
          <w:b w:val="0"/>
          <w:bCs w:val="0"/>
          <w:kern w:val="2"/>
          <w:sz w:val="36"/>
          <w:szCs w:val="36"/>
          <w:highlight w:val="none"/>
          <w:lang w:val="en-US" w:eastAsia="zh-CN" w:bidi="ar-SA"/>
        </w:rPr>
      </w:pPr>
      <w:r>
        <w:rPr>
          <w:rFonts w:hint="eastAsia" w:ascii="方正小标宋_GBK" w:hAnsi="方正小标宋_GBK" w:eastAsia="方正小标宋_GBK" w:cs="方正小标宋_GBK"/>
          <w:b w:val="0"/>
          <w:bCs w:val="0"/>
          <w:kern w:val="2"/>
          <w:sz w:val="36"/>
          <w:szCs w:val="36"/>
          <w:highlight w:val="none"/>
          <w:lang w:val="en-US" w:eastAsia="zh-CN" w:bidi="ar-SA"/>
        </w:rPr>
        <w:t>第十四节 备查文件</w:t>
      </w:r>
      <w:bookmarkEnd w:id="46"/>
      <w:bookmarkEnd w:id="47"/>
      <w:bookmarkEnd w:id="48"/>
      <w:bookmarkEnd w:id="49"/>
    </w:p>
    <w:p>
      <w:pPr>
        <w:rPr>
          <w:rFonts w:hint="eastAsia"/>
          <w:highlight w:val="none"/>
        </w:rPr>
      </w:pP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一、载有本行法定代表人、财务负责人签名并盖章的会计报表</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二、载有会计师事务所盖章、注册会计师签名并盖章的审计报告原件</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三、载有本行董事长签名的年度报告正文</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四、本行《董事、监事薪酬制度》《高级管理人员薪酬管理办法》《薪酬管理暂行办法》</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五、本行《公司章程》</w:t>
      </w:r>
    </w:p>
    <w:p>
      <w:pPr>
        <w:pStyle w:val="4"/>
        <w:rPr>
          <w:rFonts w:hint="eastAsia"/>
          <w:highlight w:val="none"/>
        </w:rPr>
      </w:pPr>
    </w:p>
    <w:p>
      <w:pPr>
        <w:ind w:right="600" w:firstLine="4650" w:firstLineChars="1550"/>
        <w:rPr>
          <w:rFonts w:hint="eastAsia" w:ascii="方正小标宋_GBK" w:eastAsia="方正小标宋_GBK" w:cs="仿宋_GB2312"/>
          <w:kern w:val="0"/>
          <w:sz w:val="30"/>
          <w:szCs w:val="30"/>
          <w:highlight w:val="none"/>
        </w:rPr>
      </w:pPr>
    </w:p>
    <w:p>
      <w:pPr>
        <w:jc w:val="center"/>
        <w:rPr>
          <w:rFonts w:hint="eastAsia" w:ascii="方正小标宋_GBK" w:hAnsi="方正小标宋_GBK" w:eastAsia="方正小标宋_GBK" w:cs="方正小标宋_GBK"/>
          <w:b w:val="0"/>
          <w:bCs w:val="0"/>
          <w:kern w:val="2"/>
          <w:sz w:val="36"/>
          <w:szCs w:val="36"/>
          <w:highlight w:val="none"/>
          <w:lang w:val="en-US" w:eastAsia="zh-CN" w:bidi="ar-SA"/>
        </w:rPr>
      </w:pPr>
      <w:bookmarkStart w:id="50" w:name="_Toc16095"/>
      <w:bookmarkStart w:id="51" w:name="_Toc24134"/>
      <w:r>
        <w:rPr>
          <w:rFonts w:hint="eastAsia" w:ascii="方正小标宋_GBK" w:hAnsi="方正小标宋_GBK" w:eastAsia="方正小标宋_GBK" w:cs="方正小标宋_GBK"/>
          <w:b w:val="0"/>
          <w:bCs w:val="0"/>
          <w:kern w:val="2"/>
          <w:sz w:val="36"/>
          <w:szCs w:val="36"/>
          <w:highlight w:val="none"/>
          <w:lang w:val="en-US" w:eastAsia="zh-CN" w:bidi="ar-SA"/>
        </w:rPr>
        <w:t xml:space="preserve">第十五节 </w:t>
      </w:r>
      <w:bookmarkStart w:id="52" w:name="_Toc32561"/>
      <w:bookmarkStart w:id="53" w:name="_Toc16106"/>
      <w:r>
        <w:rPr>
          <w:rFonts w:hint="eastAsia" w:ascii="方正小标宋_GBK" w:hAnsi="方正小标宋_GBK" w:eastAsia="方正小标宋_GBK" w:cs="方正小标宋_GBK"/>
          <w:b w:val="0"/>
          <w:bCs w:val="0"/>
          <w:kern w:val="2"/>
          <w:sz w:val="36"/>
          <w:szCs w:val="36"/>
          <w:highlight w:val="none"/>
          <w:lang w:val="en-US" w:eastAsia="zh-CN" w:bidi="ar-SA"/>
        </w:rPr>
        <w:t>审计报告</w:t>
      </w:r>
      <w:bookmarkEnd w:id="50"/>
      <w:bookmarkEnd w:id="51"/>
      <w:bookmarkEnd w:id="52"/>
      <w:bookmarkEnd w:id="53"/>
    </w:p>
    <w:p>
      <w:pPr>
        <w:rPr>
          <w:rFonts w:hint="eastAsia"/>
          <w:highlight w:val="none"/>
          <w:lang w:val="en-US" w:eastAsia="zh-CN"/>
        </w:rPr>
      </w:pPr>
    </w:p>
    <w:p>
      <w:pPr>
        <w:tabs>
          <w:tab w:val="left" w:pos="1980"/>
          <w:tab w:val="left" w:pos="7426"/>
        </w:tabs>
        <w:spacing w:line="360" w:lineRule="auto"/>
        <w:ind w:firstLine="640" w:firstLineChars="200"/>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本行2025年度审计报告经安礼华粤（广东）会计师事务所（特殊普通合伙）中国注册会计师按国内审计准则的规定执行审计工作，注册会计师出具了标准无保留意见的审计报告，详见附件。</w:t>
      </w:r>
    </w:p>
    <w:p>
      <w:pPr>
        <w:tabs>
          <w:tab w:val="left" w:pos="1980"/>
          <w:tab w:val="left" w:pos="7426"/>
        </w:tabs>
        <w:spacing w:line="360" w:lineRule="auto"/>
        <w:ind w:firstLine="640" w:firstLineChars="200"/>
        <w:rPr>
          <w:rFonts w:hint="eastAsia" w:ascii="仿宋_GB2312" w:eastAsia="仿宋_GB2312"/>
          <w:color w:val="auto"/>
          <w:sz w:val="32"/>
          <w:szCs w:val="32"/>
          <w:highlight w:val="none"/>
          <w:lang w:val="en-US" w:eastAsia="zh-CN"/>
        </w:rPr>
      </w:pPr>
    </w:p>
    <w:p>
      <w:pPr>
        <w:tabs>
          <w:tab w:val="left" w:pos="1980"/>
          <w:tab w:val="left" w:pos="7426"/>
        </w:tabs>
        <w:spacing w:line="360" w:lineRule="auto"/>
        <w:ind w:left="1598" w:leftChars="304" w:hanging="960" w:hangingChars="300"/>
        <w:rPr>
          <w:rFonts w:hint="eastAsia" w:ascii="方正小标宋_GBK" w:eastAsia="方正小标宋_GBK" w:cs="仿宋_GB2312"/>
          <w:kern w:val="0"/>
          <w:sz w:val="30"/>
          <w:szCs w:val="30"/>
          <w:highlight w:val="none"/>
        </w:rPr>
      </w:pPr>
      <w:r>
        <w:rPr>
          <w:rFonts w:hint="eastAsia" w:ascii="仿宋_GB2312" w:eastAsia="仿宋_GB2312"/>
          <w:color w:val="auto"/>
          <w:sz w:val="32"/>
          <w:szCs w:val="32"/>
          <w:highlight w:val="none"/>
          <w:lang w:val="en-US" w:eastAsia="zh-CN"/>
        </w:rPr>
        <w:t>附件：广东广宁农村商业银行股份有限公司2025年度审计报告</w:t>
      </w:r>
    </w:p>
    <w:p>
      <w:pPr>
        <w:jc w:val="both"/>
        <w:rPr>
          <w:rFonts w:ascii="方正小标宋_GBK" w:eastAsia="方正小标宋_GBK" w:cs="仿宋_GB2312"/>
          <w:kern w:val="0"/>
          <w:sz w:val="30"/>
          <w:szCs w:val="30"/>
          <w:highlight w:val="none"/>
        </w:rPr>
      </w:pPr>
      <w:bookmarkStart w:id="54" w:name="_GoBack"/>
      <w:bookmarkEnd w:id="54"/>
    </w:p>
    <w:p>
      <w:pPr>
        <w:pStyle w:val="4"/>
        <w:rPr>
          <w:highlight w:val="none"/>
        </w:rPr>
      </w:pPr>
    </w:p>
    <w:p>
      <w:pPr>
        <w:wordWrap w:val="0"/>
        <w:jc w:val="right"/>
        <w:rPr>
          <w:rFonts w:ascii="方正小标宋_GBK" w:eastAsia="方正小标宋_GBK" w:cs="仿宋_GB2312"/>
          <w:kern w:val="0"/>
          <w:sz w:val="32"/>
          <w:szCs w:val="32"/>
          <w:highlight w:val="none"/>
        </w:rPr>
      </w:pPr>
      <w:r>
        <w:rPr>
          <w:rFonts w:hint="eastAsia" w:ascii="方正小标宋_GBK" w:eastAsia="方正小标宋_GBK" w:cs="仿宋_GB2312"/>
          <w:kern w:val="0"/>
          <w:sz w:val="32"/>
          <w:szCs w:val="32"/>
          <w:highlight w:val="none"/>
        </w:rPr>
        <w:t>广东广宁农村商业银行股份有限公司</w:t>
      </w:r>
    </w:p>
    <w:p>
      <w:pPr>
        <w:ind w:right="600"/>
        <w:jc w:val="center"/>
        <w:rPr>
          <w:rFonts w:ascii="方正小标宋_GBK" w:eastAsia="方正小标宋_GBK" w:cs="仿宋_GB2312"/>
          <w:kern w:val="0"/>
          <w:sz w:val="32"/>
          <w:szCs w:val="32"/>
          <w:highlight w:val="none"/>
        </w:rPr>
      </w:pPr>
      <w:r>
        <w:rPr>
          <w:rFonts w:hint="eastAsia" w:ascii="方正小标宋_GBK" w:eastAsia="方正小标宋_GBK" w:cs="仿宋_GB2312"/>
          <w:kern w:val="0"/>
          <w:sz w:val="32"/>
          <w:szCs w:val="32"/>
          <w:highlight w:val="none"/>
        </w:rPr>
        <w:t xml:space="preserve">                    二〇二</w:t>
      </w:r>
      <w:r>
        <w:rPr>
          <w:rFonts w:hint="eastAsia" w:ascii="方正小标宋_GBK" w:eastAsia="方正小标宋_GBK" w:cs="仿宋_GB2312"/>
          <w:kern w:val="0"/>
          <w:sz w:val="32"/>
          <w:szCs w:val="32"/>
          <w:highlight w:val="none"/>
          <w:lang w:val="en-US" w:eastAsia="zh-CN"/>
        </w:rPr>
        <w:t>六</w:t>
      </w:r>
      <w:r>
        <w:rPr>
          <w:rFonts w:hint="eastAsia" w:ascii="方正小标宋_GBK" w:eastAsia="方正小标宋_GBK" w:cs="仿宋_GB2312"/>
          <w:kern w:val="0"/>
          <w:sz w:val="32"/>
          <w:szCs w:val="32"/>
          <w:highlight w:val="none"/>
        </w:rPr>
        <w:t>年</w:t>
      </w:r>
      <w:r>
        <w:rPr>
          <w:rFonts w:hint="eastAsia" w:ascii="方正小标宋_GBK" w:eastAsia="方正小标宋_GBK" w:cs="仿宋_GB2312"/>
          <w:kern w:val="0"/>
          <w:sz w:val="32"/>
          <w:szCs w:val="32"/>
          <w:highlight w:val="none"/>
          <w:lang w:val="en-US" w:eastAsia="zh-CN"/>
        </w:rPr>
        <w:t>四</w:t>
      </w:r>
      <w:r>
        <w:rPr>
          <w:rFonts w:hint="eastAsia" w:ascii="方正小标宋_GBK" w:eastAsia="方正小标宋_GBK" w:cs="仿宋_GB2312"/>
          <w:kern w:val="0"/>
          <w:sz w:val="32"/>
          <w:szCs w:val="32"/>
          <w:highlight w:val="none"/>
        </w:rPr>
        <w:t>月</w:t>
      </w:r>
      <w:r>
        <w:rPr>
          <w:rFonts w:hint="eastAsia" w:ascii="方正小标宋_GBK" w:eastAsia="方正小标宋_GBK" w:cs="仿宋_GB2312"/>
          <w:kern w:val="0"/>
          <w:sz w:val="32"/>
          <w:szCs w:val="32"/>
          <w:highlight w:val="none"/>
          <w:lang w:val="en-US" w:eastAsia="zh-CN"/>
        </w:rPr>
        <w:t>二十八</w:t>
      </w:r>
      <w:r>
        <w:rPr>
          <w:rFonts w:hint="eastAsia" w:ascii="方正小标宋_GBK" w:eastAsia="方正小标宋_GBK" w:cs="仿宋_GB2312"/>
          <w:kern w:val="0"/>
          <w:sz w:val="32"/>
          <w:szCs w:val="32"/>
          <w:highlight w:val="none"/>
        </w:rPr>
        <w:t>日</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2B1E25-C719-4865-BDEB-73CE36F03638}"/>
  </w:font>
  <w:font w:name="黑体">
    <w:panose1 w:val="02010609060101010101"/>
    <w:charset w:val="86"/>
    <w:family w:val="auto"/>
    <w:pitch w:val="default"/>
    <w:sig w:usb0="800002BF" w:usb1="38CF7CFA" w:usb2="00000016" w:usb3="00000000" w:csb0="00040001" w:csb1="00000000"/>
    <w:embedRegular r:id="rId2" w:fontKey="{9338E0B5-00FB-4F1F-82B5-87272F72FA0D}"/>
  </w:font>
  <w:font w:name="Courier New">
    <w:panose1 w:val="02070309020205020404"/>
    <w:charset w:val="01"/>
    <w:family w:val="modern"/>
    <w:pitch w:val="default"/>
    <w:sig w:usb0="E0002EFF" w:usb1="C0007843" w:usb2="00000009" w:usb3="00000000" w:csb0="400001FF" w:csb1="FFFF0000"/>
    <w:embedRegular r:id="rId3" w:fontKey="{9BAA987A-B1BA-41B0-B0F3-19A9EBEDA6E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AB9E83A8-5C9F-4E50-BEE1-A828DDD003F6}"/>
  </w:font>
  <w:font w:name="仿宋_GB2312">
    <w:panose1 w:val="02010609030101010101"/>
    <w:charset w:val="86"/>
    <w:family w:val="modern"/>
    <w:pitch w:val="default"/>
    <w:sig w:usb0="00000001" w:usb1="080E0000" w:usb2="00000000" w:usb3="00000000" w:csb0="00040000" w:csb1="00000000"/>
    <w:embedRegular r:id="rId5" w:fontKey="{1C46D18B-2F24-462E-961B-67324ABCBA46}"/>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6" w:fontKey="{BF96DD02-321C-4B53-B1C7-D132D5E81ACE}"/>
  </w:font>
  <w:font w:name="方正小标宋简体">
    <w:altName w:val="Arial Unicode MS"/>
    <w:panose1 w:val="03000509000000000000"/>
    <w:charset w:val="86"/>
    <w:family w:val="auto"/>
    <w:pitch w:val="default"/>
    <w:sig w:usb0="00000000" w:usb1="00000000" w:usb2="00000000" w:usb3="00000000" w:csb0="00040000" w:csb1="00000000"/>
    <w:embedRegular r:id="rId7" w:fontKey="{3D0AFD49-2C14-4D77-A618-4FCD4C1C0D3C}"/>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embedRegular r:id="rId8" w:fontKey="{11C26456-A0F3-408D-A43B-B638AAB6E6B6}"/>
  </w:font>
  <w:font w:name="创艺简标宋">
    <w:panose1 w:val="00000000000000000000"/>
    <w:charset w:val="86"/>
    <w:family w:val="auto"/>
    <w:pitch w:val="default"/>
    <w:sig w:usb0="00000000" w:usb1="00000000" w:usb2="00000000" w:usb3="00000000" w:csb0="00000000" w:csb1="00000000"/>
    <w:embedRegular r:id="rId9" w:fontKey="{70C2FD36-46D5-4E68-BD1A-55B57E0F94BE}"/>
  </w:font>
  <w:font w:name="楷体">
    <w:panose1 w:val="02010609060101010101"/>
    <w:charset w:val="86"/>
    <w:family w:val="auto"/>
    <w:pitch w:val="default"/>
    <w:sig w:usb0="800002BF" w:usb1="38CF7CFA" w:usb2="00000016" w:usb3="00000000" w:csb0="00040001" w:csb1="00000000"/>
    <w:embedRegular r:id="rId10" w:fontKey="{18D74B9A-EA0B-4865-9334-D9807F1201E8}"/>
  </w:font>
  <w:font w:name="方正楷体_GBK">
    <w:panose1 w:val="03000509000000000000"/>
    <w:charset w:val="86"/>
    <w:family w:val="auto"/>
    <w:pitch w:val="default"/>
    <w:sig w:usb0="00000001" w:usb1="080E0000" w:usb2="00000000" w:usb3="00000000" w:csb0="00040000" w:csb1="00000000"/>
    <w:embedRegular r:id="rId11" w:fontKey="{71DB5C20-BCE8-4994-A75D-9CD86488FB15}"/>
  </w:font>
  <w:font w:name="FangSong_GB2312,Bold">
    <w:altName w:val="宋体"/>
    <w:panose1 w:val="00000000000000000000"/>
    <w:charset w:val="86"/>
    <w:family w:val="auto"/>
    <w:pitch w:val="default"/>
    <w:sig w:usb0="00000000" w:usb1="00000000" w:usb2="00000010" w:usb3="00000000" w:csb0="00040000" w:csb1="00000000"/>
    <w:embedRegular r:id="rId12" w:fontKey="{2DDF914B-9FC4-465D-9EB4-3991284A1C93}"/>
  </w:font>
  <w:font w:name="华文楷体">
    <w:panose1 w:val="02010600040101010101"/>
    <w:charset w:val="86"/>
    <w:family w:val="auto"/>
    <w:pitch w:val="default"/>
    <w:sig w:usb0="00000287" w:usb1="080F0000" w:usb2="00000000" w:usb3="00000000" w:csb0="0004009F" w:csb1="DFD70000"/>
    <w:embedRegular r:id="rId13" w:fontKey="{DD1DBFC7-20B1-41EB-B884-912278D5B78F}"/>
  </w:font>
  <w:font w:name="Tahoma">
    <w:panose1 w:val="020B0604030504040204"/>
    <w:charset w:val="00"/>
    <w:family w:val="swiss"/>
    <w:pitch w:val="default"/>
    <w:sig w:usb0="E1002EFF" w:usb1="C000605B" w:usb2="00000029" w:usb3="00000000" w:csb0="200101FF" w:csb1="20280000"/>
    <w:embedRegular r:id="rId14" w:fontKey="{8F9B5975-521C-48CF-93CF-9F7804863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- 29 -</w:t>
    </w:r>
    <w:r>
      <w:fldChar w:fldCharType="end"/>
    </w:r>
  </w:p>
  <w:p>
    <w:pPr>
      <w:pStyle w:val="12"/>
      <w:ind w:right="360"/>
      <w:jc w:val="center"/>
    </w:pPr>
    <w:r>
      <w:drawing>
        <wp:anchor distT="0" distB="0" distL="114300" distR="114300" simplePos="0" relativeHeight="251674624" behindDoc="1" locked="0" layoutInCell="0" allowOverlap="1">
          <wp:simplePos x="0" y="0"/>
          <wp:positionH relativeFrom="margin">
            <wp:posOffset>142875</wp:posOffset>
          </wp:positionH>
          <wp:positionV relativeFrom="margin">
            <wp:posOffset>9354820</wp:posOffset>
          </wp:positionV>
          <wp:extent cx="6334125" cy="497840"/>
          <wp:effectExtent l="0" t="0" r="9525" b="16510"/>
          <wp:wrapNone/>
          <wp:docPr id="6" name="WordPictureWatermark1507502"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507502" descr="QQ截图20160707150817"/>
                  <pic:cNvPicPr>
                    <a:picLocks noChangeAspect="1"/>
                  </pic:cNvPicPr>
                </pic:nvPicPr>
                <pic:blipFill>
                  <a:blip r:embed="rId1"/>
                  <a:stretch>
                    <a:fillRect/>
                  </a:stretch>
                </pic:blipFill>
                <pic:spPr>
                  <a:xfrm>
                    <a:off x="0" y="0"/>
                    <a:ext cx="6334125" cy="49784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fldChar w:fldCharType="begin"/>
    </w:r>
    <w:r>
      <w:rPr>
        <w:rStyle w:val="23"/>
      </w:rPr>
      <w:instrText xml:space="preserve">PAGE  </w:instrText>
    </w:r>
    <w: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- 29 -</w:t>
    </w:r>
    <w:r>
      <w:fldChar w:fldCharType="end"/>
    </w:r>
  </w:p>
  <w:p>
    <w:pPr>
      <w:pStyle w:val="12"/>
      <w:ind w:right="360"/>
      <w:jc w:val="center"/>
    </w:pPr>
    <w:r>
      <w:drawing>
        <wp:anchor distT="0" distB="0" distL="114300" distR="114300" simplePos="0" relativeHeight="251661312" behindDoc="1" locked="0" layoutInCell="0" allowOverlap="1">
          <wp:simplePos x="0" y="0"/>
          <wp:positionH relativeFrom="margin">
            <wp:posOffset>142875</wp:posOffset>
          </wp:positionH>
          <wp:positionV relativeFrom="margin">
            <wp:posOffset>9354820</wp:posOffset>
          </wp:positionV>
          <wp:extent cx="6334125" cy="497840"/>
          <wp:effectExtent l="0" t="0" r="9525" b="16510"/>
          <wp:wrapNone/>
          <wp:docPr id="22" name="WordPictureWatermark1507502"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507502" descr="QQ截图20160707150817"/>
                  <pic:cNvPicPr>
                    <a:picLocks noChangeAspect="1"/>
                  </pic:cNvPicPr>
                </pic:nvPicPr>
                <pic:blipFill>
                  <a:blip r:embed="rId1"/>
                  <a:stretch>
                    <a:fillRect/>
                  </a:stretch>
                </pic:blipFill>
                <pic:spPr>
                  <a:xfrm>
                    <a:off x="0" y="0"/>
                    <a:ext cx="6334125" cy="49784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separate"/>
    </w:r>
    <w:r>
      <w:rPr>
        <w:rStyle w:val="23"/>
      </w:rPr>
      <w:t>- 70 -</w:t>
    </w:r>
    <w:r>
      <w:rPr>
        <w:rStyle w:val="23"/>
      </w:rPr>
      <w:fldChar w:fldCharType="end"/>
    </w:r>
  </w:p>
  <w:p>
    <w:pPr>
      <w:pStyle w:val="12"/>
      <w:tabs>
        <w:tab w:val="left" w:pos="4680"/>
        <w:tab w:val="clear" w:pos="4153"/>
        <w:tab w:val="clear" w:pos="8306"/>
      </w:tabs>
      <w:ind w:right="360"/>
    </w:pPr>
    <w:r>
      <w:drawing>
        <wp:anchor distT="0" distB="0" distL="114300" distR="114300" simplePos="0" relativeHeight="251664384" behindDoc="1" locked="0" layoutInCell="0" allowOverlap="1">
          <wp:simplePos x="0" y="0"/>
          <wp:positionH relativeFrom="margin">
            <wp:posOffset>1170305</wp:posOffset>
          </wp:positionH>
          <wp:positionV relativeFrom="margin">
            <wp:posOffset>9297670</wp:posOffset>
          </wp:positionV>
          <wp:extent cx="5256530" cy="497840"/>
          <wp:effectExtent l="0" t="0" r="1270" b="16510"/>
          <wp:wrapNone/>
          <wp:docPr id="26" name="WordPictureWatermark1507505"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507505" descr="QQ截图20160707150817"/>
                  <pic:cNvPicPr>
                    <a:picLocks noChangeAspect="1"/>
                  </pic:cNvPicPr>
                </pic:nvPicPr>
                <pic:blipFill>
                  <a:blip r:embed="rId1"/>
                  <a:stretch>
                    <a:fillRect/>
                  </a:stretch>
                </pic:blipFill>
                <pic:spPr>
                  <a:xfrm>
                    <a:off x="0" y="0"/>
                    <a:ext cx="5256530" cy="497840"/>
                  </a:xfrm>
                  <a:prstGeom prst="rect">
                    <a:avLst/>
                  </a:prstGeom>
                  <a:noFill/>
                  <a:ln>
                    <a:noFill/>
                  </a:ln>
                </pic:spPr>
              </pic:pic>
            </a:graphicData>
          </a:graphic>
        </wp:anchor>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drawing>
        <wp:anchor distT="0" distB="0" distL="114300" distR="114300" simplePos="0" relativeHeight="251672576" behindDoc="1" locked="0" layoutInCell="1" allowOverlap="1">
          <wp:simplePos x="0" y="0"/>
          <wp:positionH relativeFrom="column">
            <wp:posOffset>-720090</wp:posOffset>
          </wp:positionH>
          <wp:positionV relativeFrom="paragraph">
            <wp:posOffset>-226060</wp:posOffset>
          </wp:positionV>
          <wp:extent cx="2177415" cy="314325"/>
          <wp:effectExtent l="0" t="0" r="1333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77415" cy="3143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5256530" cy="497840"/>
          <wp:effectExtent l="0" t="0" r="1270" b="16510"/>
          <wp:wrapNone/>
          <wp:docPr id="7" name="WordPictureWatermark1507501"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507501" descr="QQ截图20160707150817"/>
                  <pic:cNvPicPr>
                    <a:picLocks noChangeAspect="1"/>
                  </pic:cNvPicPr>
                </pic:nvPicPr>
                <pic:blipFill>
                  <a:blip r:embed="rId1"/>
                  <a:stretch>
                    <a:fillRect/>
                  </a:stretch>
                </pic:blipFill>
                <pic:spPr>
                  <a:xfrm>
                    <a:off x="0" y="0"/>
                    <a:ext cx="5256530" cy="4978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left="850" w:leftChars="405"/>
    </w:pPr>
    <w:r>
      <w:drawing>
        <wp:anchor distT="0" distB="0" distL="114300" distR="114300" simplePos="0" relativeHeight="251671552" behindDoc="1" locked="0" layoutInCell="1" allowOverlap="1">
          <wp:simplePos x="0" y="0"/>
          <wp:positionH relativeFrom="column">
            <wp:posOffset>-586740</wp:posOffset>
          </wp:positionH>
          <wp:positionV relativeFrom="paragraph">
            <wp:posOffset>-279400</wp:posOffset>
          </wp:positionV>
          <wp:extent cx="2066925" cy="297815"/>
          <wp:effectExtent l="0" t="0" r="9525"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066925" cy="297815"/>
                  </a:xfrm>
                  <a:prstGeom prst="rect">
                    <a:avLst/>
                  </a:prstGeom>
                </pic:spPr>
              </pic:pic>
            </a:graphicData>
          </a:graphic>
        </wp:anchor>
      </w:drawing>
    </w:r>
  </w:p>
  <w:p>
    <w:pPr>
      <w:pStyle w:val="1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drawing>
        <wp:anchor distT="0" distB="0" distL="114300" distR="114300" simplePos="0" relativeHeight="251660288" behindDoc="1" locked="0" layoutInCell="1" allowOverlap="1">
          <wp:simplePos x="0" y="0"/>
          <wp:positionH relativeFrom="column">
            <wp:posOffset>-720090</wp:posOffset>
          </wp:positionH>
          <wp:positionV relativeFrom="paragraph">
            <wp:posOffset>-226060</wp:posOffset>
          </wp:positionV>
          <wp:extent cx="2177415" cy="314325"/>
          <wp:effectExtent l="0" t="0" r="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77415" cy="31432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left="850" w:leftChars="405"/>
    </w:pPr>
    <w:r>
      <w:drawing>
        <wp:anchor distT="0" distB="0" distL="114300" distR="114300" simplePos="0" relativeHeight="251666432" behindDoc="1" locked="0" layoutInCell="1" allowOverlap="1">
          <wp:simplePos x="0" y="0"/>
          <wp:positionH relativeFrom="column">
            <wp:posOffset>384810</wp:posOffset>
          </wp:positionH>
          <wp:positionV relativeFrom="paragraph">
            <wp:posOffset>-309880</wp:posOffset>
          </wp:positionV>
          <wp:extent cx="2066925" cy="297815"/>
          <wp:effectExtent l="0" t="0" r="9525" b="698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066925" cy="297815"/>
                  </a:xfrm>
                  <a:prstGeom prst="rect">
                    <a:avLst/>
                  </a:prstGeom>
                </pic:spPr>
              </pic:pic>
            </a:graphicData>
          </a:graphic>
        </wp:anchor>
      </w:drawing>
    </w:r>
  </w:p>
  <w:p>
    <w:pPr>
      <w:pStyle w:val="1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drawing>
        <wp:anchor distT="0" distB="0" distL="114300" distR="114300" simplePos="0" relativeHeight="251665408" behindDoc="1" locked="0" layoutInCell="1" allowOverlap="1">
          <wp:simplePos x="0" y="0"/>
          <wp:positionH relativeFrom="column">
            <wp:posOffset>-697230</wp:posOffset>
          </wp:positionH>
          <wp:positionV relativeFrom="paragraph">
            <wp:posOffset>-207010</wp:posOffset>
          </wp:positionV>
          <wp:extent cx="2066925" cy="297815"/>
          <wp:effectExtent l="0" t="0" r="9525"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066925" cy="29781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56530" cy="497840"/>
          <wp:effectExtent l="0" t="0" r="1270" b="16510"/>
          <wp:wrapNone/>
          <wp:docPr id="25" name="WordPictureWatermark1507504"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PictureWatermark1507504" descr="QQ截图20160707150817"/>
                  <pic:cNvPicPr>
                    <a:picLocks noChangeAspect="1"/>
                  </pic:cNvPicPr>
                </pic:nvPicPr>
                <pic:blipFill>
                  <a:blip r:embed="rId1"/>
                  <a:stretch>
                    <a:fillRect/>
                  </a:stretch>
                </pic:blipFill>
                <pic:spPr>
                  <a:xfrm>
                    <a:off x="0" y="0"/>
                    <a:ext cx="5256530" cy="49784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56530" cy="497840"/>
          <wp:effectExtent l="0" t="0" r="1270" b="16510"/>
          <wp:wrapNone/>
          <wp:docPr id="24" name="WordPictureWatermark1507503" descr="QQ截图2016070715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PictureWatermark1507503" descr="QQ截图20160707150817"/>
                  <pic:cNvPicPr>
                    <a:picLocks noChangeAspect="1"/>
                  </pic:cNvPicPr>
                </pic:nvPicPr>
                <pic:blipFill>
                  <a:blip r:embed="rId1"/>
                  <a:stretch>
                    <a:fillRect/>
                  </a:stretch>
                </pic:blipFill>
                <pic:spPr>
                  <a:xfrm>
                    <a:off x="0" y="0"/>
                    <a:ext cx="5256530" cy="4978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FD5AD"/>
    <w:multiLevelType w:val="singleLevel"/>
    <w:tmpl w:val="9BFFD5AD"/>
    <w:lvl w:ilvl="0" w:tentative="0">
      <w:start w:val="4"/>
      <w:numFmt w:val="chineseCounting"/>
      <w:suff w:val="nothing"/>
      <w:lvlText w:val="%1、"/>
      <w:lvlJc w:val="left"/>
      <w:rPr>
        <w:rFonts w:hint="eastAsia"/>
      </w:rPr>
    </w:lvl>
  </w:abstractNum>
  <w:abstractNum w:abstractNumId="1">
    <w:nsid w:val="BEC39665"/>
    <w:multiLevelType w:val="singleLevel"/>
    <w:tmpl w:val="BEC39665"/>
    <w:lvl w:ilvl="0" w:tentative="0">
      <w:start w:val="1"/>
      <w:numFmt w:val="chineseCounting"/>
      <w:suff w:val="nothing"/>
      <w:lvlText w:val="（%1）"/>
      <w:lvlJc w:val="left"/>
      <w:rPr>
        <w:rFonts w:hint="eastAsia"/>
      </w:rPr>
    </w:lvl>
  </w:abstractNum>
  <w:abstractNum w:abstractNumId="2">
    <w:nsid w:val="EAB01566"/>
    <w:multiLevelType w:val="singleLevel"/>
    <w:tmpl w:val="EAB01566"/>
    <w:lvl w:ilvl="0" w:tentative="0">
      <w:start w:val="3"/>
      <w:numFmt w:val="chineseCounting"/>
      <w:suff w:val="nothing"/>
      <w:lvlText w:val="（%1）"/>
      <w:lvlJc w:val="left"/>
      <w:rPr>
        <w:rFonts w:hint="eastAsia"/>
      </w:rPr>
    </w:lvl>
  </w:abstractNum>
  <w:abstractNum w:abstractNumId="3">
    <w:nsid w:val="0A1A5FAC"/>
    <w:multiLevelType w:val="singleLevel"/>
    <w:tmpl w:val="0A1A5FAC"/>
    <w:lvl w:ilvl="0" w:tentative="0">
      <w:start w:val="10"/>
      <w:numFmt w:val="chineseCounting"/>
      <w:suff w:val="space"/>
      <w:lvlText w:val="第%1节"/>
      <w:lvlJc w:val="left"/>
      <w:rPr>
        <w:rFonts w:hint="eastAsia"/>
      </w:rPr>
    </w:lvl>
  </w:abstractNum>
  <w:abstractNum w:abstractNumId="4">
    <w:nsid w:val="0B3E73A3"/>
    <w:multiLevelType w:val="multilevel"/>
    <w:tmpl w:val="0B3E73A3"/>
    <w:lvl w:ilvl="0" w:tentative="0">
      <w:start w:val="1"/>
      <w:numFmt w:val="chineseCountingThousand"/>
      <w:pStyle w:val="33"/>
      <w:lvlText w:val="%1、"/>
      <w:lvlJc w:val="left"/>
      <w:pPr>
        <w:tabs>
          <w:tab w:val="left" w:pos="567"/>
        </w:tabs>
        <w:ind w:left="567" w:hanging="567"/>
      </w:pPr>
      <w:rPr>
        <w:rFonts w:hint="eastAsia"/>
      </w:rPr>
    </w:lvl>
    <w:lvl w:ilvl="1" w:tentative="0">
      <w:start w:val="1"/>
      <w:numFmt w:val="decimal"/>
      <w:pStyle w:val="34"/>
      <w:lvlText w:val="%2."/>
      <w:lvlJc w:val="left"/>
      <w:pPr>
        <w:tabs>
          <w:tab w:val="left" w:pos="567"/>
        </w:tabs>
        <w:ind w:left="567" w:hanging="567"/>
      </w:pPr>
      <w:rPr>
        <w:rFonts w:hint="default" w:ascii="Arial" w:hAnsi="Arial"/>
        <w:sz w:val="24"/>
      </w:rPr>
    </w:lvl>
    <w:lvl w:ilvl="2" w:tentative="0">
      <w:start w:val="1"/>
      <w:numFmt w:val="lowerLetter"/>
      <w:pStyle w:val="35"/>
      <w:lvlText w:val="(%3)"/>
      <w:lvlJc w:val="left"/>
      <w:pPr>
        <w:tabs>
          <w:tab w:val="left" w:pos="567"/>
        </w:tabs>
        <w:ind w:left="567" w:hanging="567"/>
      </w:pPr>
      <w:rPr>
        <w:rFonts w:hint="default" w:ascii="Arial" w:hAnsi="Arial"/>
        <w:sz w:val="20"/>
      </w:rPr>
    </w:lvl>
    <w:lvl w:ilvl="3" w:tentative="0">
      <w:start w:val="1"/>
      <w:numFmt w:val="lowerRoman"/>
      <w:pStyle w:val="36"/>
      <w:lvlText w:val="(%4)"/>
      <w:lvlJc w:val="left"/>
      <w:pPr>
        <w:tabs>
          <w:tab w:val="left" w:pos="1134"/>
        </w:tabs>
        <w:ind w:left="1134" w:hanging="567"/>
      </w:pPr>
      <w:rPr>
        <w:rFonts w:hint="default" w:ascii="Arial" w:hAnsi="Arial"/>
        <w:b w:val="0"/>
        <w:i w:val="0"/>
        <w:sz w:val="20"/>
      </w:rPr>
    </w:lvl>
    <w:lvl w:ilvl="4" w:tentative="0">
      <w:start w:val="1"/>
      <w:numFmt w:val="upperLetter"/>
      <w:pStyle w:val="37"/>
      <w:lvlText w:val="(%5)"/>
      <w:lvlJc w:val="left"/>
      <w:pPr>
        <w:tabs>
          <w:tab w:val="left" w:pos="1701"/>
        </w:tabs>
        <w:ind w:left="1701" w:hanging="567"/>
      </w:pPr>
      <w:rPr>
        <w:rFonts w:hint="default" w:ascii="Arial" w:hAnsi="Arial"/>
        <w:sz w:val="20"/>
      </w:rPr>
    </w:lvl>
    <w:lvl w:ilvl="5" w:tentative="0">
      <w:start w:val="1"/>
      <w:numFmt w:val="none"/>
      <w:lvlText w:val=""/>
      <w:lvlJc w:val="left"/>
      <w:pPr>
        <w:tabs>
          <w:tab w:val="left" w:pos="2268"/>
        </w:tabs>
        <w:ind w:left="2268" w:hanging="2268"/>
      </w:pPr>
      <w:rPr>
        <w:rFonts w:hint="eastAsia"/>
      </w:rPr>
    </w:lvl>
    <w:lvl w:ilvl="6" w:tentative="0">
      <w:start w:val="1"/>
      <w:numFmt w:val="none"/>
      <w:lvlText w:val=""/>
      <w:lvlJc w:val="left"/>
      <w:pPr>
        <w:tabs>
          <w:tab w:val="left" w:pos="2268"/>
        </w:tabs>
        <w:ind w:left="2268" w:hanging="2268"/>
      </w:pPr>
      <w:rPr>
        <w:rFonts w:hint="eastAsia"/>
      </w:rPr>
    </w:lvl>
    <w:lvl w:ilvl="7" w:tentative="0">
      <w:start w:val="1"/>
      <w:numFmt w:val="none"/>
      <w:lvlText w:val=""/>
      <w:lvlJc w:val="left"/>
      <w:pPr>
        <w:tabs>
          <w:tab w:val="left" w:pos="2268"/>
        </w:tabs>
        <w:ind w:left="2268" w:hanging="2268"/>
      </w:pPr>
      <w:rPr>
        <w:rFonts w:hint="eastAsia"/>
      </w:rPr>
    </w:lvl>
    <w:lvl w:ilvl="8" w:tentative="0">
      <w:start w:val="1"/>
      <w:numFmt w:val="none"/>
      <w:lvlText w:val=""/>
      <w:lvlJc w:val="left"/>
      <w:pPr>
        <w:tabs>
          <w:tab w:val="left" w:pos="2268"/>
        </w:tabs>
        <w:ind w:left="2268" w:hanging="2268"/>
      </w:pPr>
      <w:rPr>
        <w:rFonts w:hint="eastAsia"/>
      </w:rPr>
    </w:lvl>
  </w:abstractNum>
  <w:abstractNum w:abstractNumId="5">
    <w:nsid w:val="139A2DC4"/>
    <w:multiLevelType w:val="multilevel"/>
    <w:tmpl w:val="139A2DC4"/>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6">
    <w:nsid w:val="5B371DC6"/>
    <w:multiLevelType w:val="multilevel"/>
    <w:tmpl w:val="5B371D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5"/>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xYjZhMzk5NDc5OGVmZmRhN2ZlZjhlNjExMWU3OGUifQ=="/>
  </w:docVars>
  <w:rsids>
    <w:rsidRoot w:val="00736C2F"/>
    <w:rsid w:val="00001A6F"/>
    <w:rsid w:val="000026C8"/>
    <w:rsid w:val="00003833"/>
    <w:rsid w:val="000056CA"/>
    <w:rsid w:val="000073A3"/>
    <w:rsid w:val="000104E0"/>
    <w:rsid w:val="00010D0F"/>
    <w:rsid w:val="00010E34"/>
    <w:rsid w:val="000123B1"/>
    <w:rsid w:val="000136EC"/>
    <w:rsid w:val="000139FA"/>
    <w:rsid w:val="00014C29"/>
    <w:rsid w:val="00015054"/>
    <w:rsid w:val="000155E4"/>
    <w:rsid w:val="000203D9"/>
    <w:rsid w:val="00020812"/>
    <w:rsid w:val="000209C1"/>
    <w:rsid w:val="000219EF"/>
    <w:rsid w:val="00021A82"/>
    <w:rsid w:val="00023101"/>
    <w:rsid w:val="00030DB9"/>
    <w:rsid w:val="00032352"/>
    <w:rsid w:val="00032680"/>
    <w:rsid w:val="00035B4C"/>
    <w:rsid w:val="00036720"/>
    <w:rsid w:val="00036A5E"/>
    <w:rsid w:val="00036DC9"/>
    <w:rsid w:val="00041229"/>
    <w:rsid w:val="00041BD1"/>
    <w:rsid w:val="00042417"/>
    <w:rsid w:val="00045C03"/>
    <w:rsid w:val="00050C9B"/>
    <w:rsid w:val="0005147D"/>
    <w:rsid w:val="00053C15"/>
    <w:rsid w:val="000556C2"/>
    <w:rsid w:val="00056239"/>
    <w:rsid w:val="000565AD"/>
    <w:rsid w:val="000579FD"/>
    <w:rsid w:val="00061D90"/>
    <w:rsid w:val="000622D8"/>
    <w:rsid w:val="00063403"/>
    <w:rsid w:val="000634FF"/>
    <w:rsid w:val="000635C7"/>
    <w:rsid w:val="00067FD7"/>
    <w:rsid w:val="00070A6C"/>
    <w:rsid w:val="00071C8E"/>
    <w:rsid w:val="00073651"/>
    <w:rsid w:val="0007499F"/>
    <w:rsid w:val="00074D98"/>
    <w:rsid w:val="00075B79"/>
    <w:rsid w:val="00076CB6"/>
    <w:rsid w:val="00076FCD"/>
    <w:rsid w:val="000773EE"/>
    <w:rsid w:val="00082112"/>
    <w:rsid w:val="000824D8"/>
    <w:rsid w:val="00084431"/>
    <w:rsid w:val="0008557C"/>
    <w:rsid w:val="00086C81"/>
    <w:rsid w:val="00086F65"/>
    <w:rsid w:val="00087779"/>
    <w:rsid w:val="0009150B"/>
    <w:rsid w:val="00091C6A"/>
    <w:rsid w:val="000920FD"/>
    <w:rsid w:val="0009211D"/>
    <w:rsid w:val="00093223"/>
    <w:rsid w:val="0009412D"/>
    <w:rsid w:val="000948B1"/>
    <w:rsid w:val="0009636B"/>
    <w:rsid w:val="000A0955"/>
    <w:rsid w:val="000A1CE1"/>
    <w:rsid w:val="000A1FCD"/>
    <w:rsid w:val="000A2E8F"/>
    <w:rsid w:val="000A42D5"/>
    <w:rsid w:val="000A5F20"/>
    <w:rsid w:val="000A6530"/>
    <w:rsid w:val="000A72EA"/>
    <w:rsid w:val="000A764D"/>
    <w:rsid w:val="000B03D4"/>
    <w:rsid w:val="000B2C90"/>
    <w:rsid w:val="000B3E62"/>
    <w:rsid w:val="000B5CD4"/>
    <w:rsid w:val="000B645B"/>
    <w:rsid w:val="000B659D"/>
    <w:rsid w:val="000B66C4"/>
    <w:rsid w:val="000B6E66"/>
    <w:rsid w:val="000B7058"/>
    <w:rsid w:val="000B7A3D"/>
    <w:rsid w:val="000C0210"/>
    <w:rsid w:val="000C0913"/>
    <w:rsid w:val="000C18D1"/>
    <w:rsid w:val="000C27A6"/>
    <w:rsid w:val="000C38E4"/>
    <w:rsid w:val="000C5A0C"/>
    <w:rsid w:val="000D0DDC"/>
    <w:rsid w:val="000D10D0"/>
    <w:rsid w:val="000D3B35"/>
    <w:rsid w:val="000D4741"/>
    <w:rsid w:val="000D54FE"/>
    <w:rsid w:val="000D7198"/>
    <w:rsid w:val="000E0BCD"/>
    <w:rsid w:val="000E12BD"/>
    <w:rsid w:val="000E232D"/>
    <w:rsid w:val="000E452B"/>
    <w:rsid w:val="000E4D5F"/>
    <w:rsid w:val="000E5747"/>
    <w:rsid w:val="000E6C10"/>
    <w:rsid w:val="000F0FA4"/>
    <w:rsid w:val="000F2EBD"/>
    <w:rsid w:val="000F54AA"/>
    <w:rsid w:val="000F5C64"/>
    <w:rsid w:val="000F7E3F"/>
    <w:rsid w:val="00101D79"/>
    <w:rsid w:val="00103CD5"/>
    <w:rsid w:val="00104484"/>
    <w:rsid w:val="00105735"/>
    <w:rsid w:val="001059EF"/>
    <w:rsid w:val="00105D1E"/>
    <w:rsid w:val="00105D6F"/>
    <w:rsid w:val="00106CCD"/>
    <w:rsid w:val="001072CC"/>
    <w:rsid w:val="00107A02"/>
    <w:rsid w:val="00107D94"/>
    <w:rsid w:val="001116E8"/>
    <w:rsid w:val="00122583"/>
    <w:rsid w:val="00122DFA"/>
    <w:rsid w:val="0012555B"/>
    <w:rsid w:val="001263CD"/>
    <w:rsid w:val="00130347"/>
    <w:rsid w:val="001323EB"/>
    <w:rsid w:val="00132B7D"/>
    <w:rsid w:val="001425E1"/>
    <w:rsid w:val="001430F9"/>
    <w:rsid w:val="00143BE6"/>
    <w:rsid w:val="001451BD"/>
    <w:rsid w:val="001513AE"/>
    <w:rsid w:val="0015245B"/>
    <w:rsid w:val="00153933"/>
    <w:rsid w:val="00154643"/>
    <w:rsid w:val="0016458C"/>
    <w:rsid w:val="00165724"/>
    <w:rsid w:val="0016595A"/>
    <w:rsid w:val="00165E67"/>
    <w:rsid w:val="00167678"/>
    <w:rsid w:val="00167AD5"/>
    <w:rsid w:val="00172AFB"/>
    <w:rsid w:val="00173D3B"/>
    <w:rsid w:val="00174538"/>
    <w:rsid w:val="0017589B"/>
    <w:rsid w:val="00175FE4"/>
    <w:rsid w:val="0018070D"/>
    <w:rsid w:val="001832C8"/>
    <w:rsid w:val="0018333E"/>
    <w:rsid w:val="00183933"/>
    <w:rsid w:val="00183980"/>
    <w:rsid w:val="00186AC5"/>
    <w:rsid w:val="00190A0F"/>
    <w:rsid w:val="00192D7B"/>
    <w:rsid w:val="00194458"/>
    <w:rsid w:val="00195B9F"/>
    <w:rsid w:val="001961F0"/>
    <w:rsid w:val="001A0C2C"/>
    <w:rsid w:val="001A15BC"/>
    <w:rsid w:val="001B0A93"/>
    <w:rsid w:val="001B2A6B"/>
    <w:rsid w:val="001B5850"/>
    <w:rsid w:val="001B5901"/>
    <w:rsid w:val="001B7293"/>
    <w:rsid w:val="001B7F5D"/>
    <w:rsid w:val="001C3D55"/>
    <w:rsid w:val="001C404F"/>
    <w:rsid w:val="001C432F"/>
    <w:rsid w:val="001C472E"/>
    <w:rsid w:val="001C7C7C"/>
    <w:rsid w:val="001D0A8B"/>
    <w:rsid w:val="001D15BF"/>
    <w:rsid w:val="001D632C"/>
    <w:rsid w:val="001D7FC4"/>
    <w:rsid w:val="001E024B"/>
    <w:rsid w:val="001E0410"/>
    <w:rsid w:val="001E10C9"/>
    <w:rsid w:val="001E59C8"/>
    <w:rsid w:val="001E5A52"/>
    <w:rsid w:val="001E662E"/>
    <w:rsid w:val="001E75ED"/>
    <w:rsid w:val="001F2967"/>
    <w:rsid w:val="001F398A"/>
    <w:rsid w:val="00202655"/>
    <w:rsid w:val="00203053"/>
    <w:rsid w:val="00203580"/>
    <w:rsid w:val="00206005"/>
    <w:rsid w:val="00206796"/>
    <w:rsid w:val="00207705"/>
    <w:rsid w:val="00207DBF"/>
    <w:rsid w:val="002106AB"/>
    <w:rsid w:val="00210C64"/>
    <w:rsid w:val="002115E0"/>
    <w:rsid w:val="00212B52"/>
    <w:rsid w:val="00221EA5"/>
    <w:rsid w:val="00222B45"/>
    <w:rsid w:val="0022320D"/>
    <w:rsid w:val="002236EB"/>
    <w:rsid w:val="00224132"/>
    <w:rsid w:val="002248B9"/>
    <w:rsid w:val="00225BBB"/>
    <w:rsid w:val="00227D82"/>
    <w:rsid w:val="0023081D"/>
    <w:rsid w:val="002308E4"/>
    <w:rsid w:val="00231087"/>
    <w:rsid w:val="00231111"/>
    <w:rsid w:val="00235630"/>
    <w:rsid w:val="0023585C"/>
    <w:rsid w:val="00240D27"/>
    <w:rsid w:val="00241C9D"/>
    <w:rsid w:val="00242233"/>
    <w:rsid w:val="00243377"/>
    <w:rsid w:val="002455BF"/>
    <w:rsid w:val="002477AA"/>
    <w:rsid w:val="002523F9"/>
    <w:rsid w:val="00252871"/>
    <w:rsid w:val="00252A61"/>
    <w:rsid w:val="00261D99"/>
    <w:rsid w:val="00263EDA"/>
    <w:rsid w:val="00266E90"/>
    <w:rsid w:val="002735C3"/>
    <w:rsid w:val="0027580B"/>
    <w:rsid w:val="00276DE9"/>
    <w:rsid w:val="00277A07"/>
    <w:rsid w:val="00280EAD"/>
    <w:rsid w:val="00282345"/>
    <w:rsid w:val="00287E5D"/>
    <w:rsid w:val="00287E8C"/>
    <w:rsid w:val="00290241"/>
    <w:rsid w:val="002946A8"/>
    <w:rsid w:val="00294880"/>
    <w:rsid w:val="002975C1"/>
    <w:rsid w:val="002A20E9"/>
    <w:rsid w:val="002A315A"/>
    <w:rsid w:val="002A44A4"/>
    <w:rsid w:val="002A71F4"/>
    <w:rsid w:val="002B06E7"/>
    <w:rsid w:val="002B1949"/>
    <w:rsid w:val="002B1C68"/>
    <w:rsid w:val="002B2AD2"/>
    <w:rsid w:val="002B2D28"/>
    <w:rsid w:val="002B2F11"/>
    <w:rsid w:val="002B371F"/>
    <w:rsid w:val="002B3FB7"/>
    <w:rsid w:val="002B6055"/>
    <w:rsid w:val="002B72E7"/>
    <w:rsid w:val="002C02C9"/>
    <w:rsid w:val="002C15F0"/>
    <w:rsid w:val="002C22C3"/>
    <w:rsid w:val="002C31F3"/>
    <w:rsid w:val="002C3F14"/>
    <w:rsid w:val="002C54A9"/>
    <w:rsid w:val="002C742E"/>
    <w:rsid w:val="002C7A33"/>
    <w:rsid w:val="002D0727"/>
    <w:rsid w:val="002D2263"/>
    <w:rsid w:val="002D3301"/>
    <w:rsid w:val="002D758C"/>
    <w:rsid w:val="002D7E85"/>
    <w:rsid w:val="002E0AFD"/>
    <w:rsid w:val="002E1951"/>
    <w:rsid w:val="002E1F68"/>
    <w:rsid w:val="002E223C"/>
    <w:rsid w:val="002E2C68"/>
    <w:rsid w:val="002E365C"/>
    <w:rsid w:val="002E465D"/>
    <w:rsid w:val="002E4AC0"/>
    <w:rsid w:val="002E54D3"/>
    <w:rsid w:val="002E5D4F"/>
    <w:rsid w:val="002E615A"/>
    <w:rsid w:val="002F0A4C"/>
    <w:rsid w:val="002F0E3A"/>
    <w:rsid w:val="002F1088"/>
    <w:rsid w:val="002F2DC5"/>
    <w:rsid w:val="002F32B1"/>
    <w:rsid w:val="002F4C44"/>
    <w:rsid w:val="002F4E81"/>
    <w:rsid w:val="002F517F"/>
    <w:rsid w:val="002F563E"/>
    <w:rsid w:val="002F5685"/>
    <w:rsid w:val="002F5AF3"/>
    <w:rsid w:val="00300294"/>
    <w:rsid w:val="00302F89"/>
    <w:rsid w:val="003031DA"/>
    <w:rsid w:val="003039BA"/>
    <w:rsid w:val="0031123B"/>
    <w:rsid w:val="00311DB8"/>
    <w:rsid w:val="00312AAB"/>
    <w:rsid w:val="00313BFA"/>
    <w:rsid w:val="00317D97"/>
    <w:rsid w:val="003209E6"/>
    <w:rsid w:val="00321727"/>
    <w:rsid w:val="0032465F"/>
    <w:rsid w:val="00324954"/>
    <w:rsid w:val="00325D24"/>
    <w:rsid w:val="00326D8A"/>
    <w:rsid w:val="00327398"/>
    <w:rsid w:val="00330072"/>
    <w:rsid w:val="00330666"/>
    <w:rsid w:val="00334A83"/>
    <w:rsid w:val="00335CD7"/>
    <w:rsid w:val="003404C6"/>
    <w:rsid w:val="00340853"/>
    <w:rsid w:val="00342067"/>
    <w:rsid w:val="00342483"/>
    <w:rsid w:val="003458C3"/>
    <w:rsid w:val="003467E4"/>
    <w:rsid w:val="00346DE4"/>
    <w:rsid w:val="00350F0E"/>
    <w:rsid w:val="0035237D"/>
    <w:rsid w:val="00353256"/>
    <w:rsid w:val="003537E0"/>
    <w:rsid w:val="00354BB5"/>
    <w:rsid w:val="00361006"/>
    <w:rsid w:val="00361557"/>
    <w:rsid w:val="00364356"/>
    <w:rsid w:val="00365F71"/>
    <w:rsid w:val="00366CF2"/>
    <w:rsid w:val="00373AE7"/>
    <w:rsid w:val="00375780"/>
    <w:rsid w:val="0037646E"/>
    <w:rsid w:val="003768F9"/>
    <w:rsid w:val="00381725"/>
    <w:rsid w:val="00383C99"/>
    <w:rsid w:val="003853D0"/>
    <w:rsid w:val="00394D65"/>
    <w:rsid w:val="003957A5"/>
    <w:rsid w:val="003958D7"/>
    <w:rsid w:val="00396325"/>
    <w:rsid w:val="00397BFD"/>
    <w:rsid w:val="003A00A2"/>
    <w:rsid w:val="003A356F"/>
    <w:rsid w:val="003A37E6"/>
    <w:rsid w:val="003A7D60"/>
    <w:rsid w:val="003B0650"/>
    <w:rsid w:val="003B0DD4"/>
    <w:rsid w:val="003B1320"/>
    <w:rsid w:val="003B1CC7"/>
    <w:rsid w:val="003B1D9D"/>
    <w:rsid w:val="003B30AE"/>
    <w:rsid w:val="003B3F12"/>
    <w:rsid w:val="003B4AA6"/>
    <w:rsid w:val="003B4BC7"/>
    <w:rsid w:val="003B5481"/>
    <w:rsid w:val="003B5ECF"/>
    <w:rsid w:val="003B6AA2"/>
    <w:rsid w:val="003C065C"/>
    <w:rsid w:val="003C3487"/>
    <w:rsid w:val="003C5BBC"/>
    <w:rsid w:val="003D106B"/>
    <w:rsid w:val="003D15D9"/>
    <w:rsid w:val="003D15FC"/>
    <w:rsid w:val="003D477F"/>
    <w:rsid w:val="003D6F19"/>
    <w:rsid w:val="003D7187"/>
    <w:rsid w:val="003D74A0"/>
    <w:rsid w:val="003D7B80"/>
    <w:rsid w:val="003E236C"/>
    <w:rsid w:val="003E6AB8"/>
    <w:rsid w:val="003F0500"/>
    <w:rsid w:val="003F296C"/>
    <w:rsid w:val="003F6BE2"/>
    <w:rsid w:val="003F7DD4"/>
    <w:rsid w:val="0040053D"/>
    <w:rsid w:val="00400CF0"/>
    <w:rsid w:val="0040167A"/>
    <w:rsid w:val="0040290E"/>
    <w:rsid w:val="00402BBA"/>
    <w:rsid w:val="004039E0"/>
    <w:rsid w:val="0040472B"/>
    <w:rsid w:val="00405D7C"/>
    <w:rsid w:val="0040725D"/>
    <w:rsid w:val="0040767D"/>
    <w:rsid w:val="00412ADB"/>
    <w:rsid w:val="0041324E"/>
    <w:rsid w:val="0041409B"/>
    <w:rsid w:val="00414509"/>
    <w:rsid w:val="00416869"/>
    <w:rsid w:val="004170A7"/>
    <w:rsid w:val="00420205"/>
    <w:rsid w:val="00420CF3"/>
    <w:rsid w:val="00421F0A"/>
    <w:rsid w:val="00422355"/>
    <w:rsid w:val="0042320D"/>
    <w:rsid w:val="004310F3"/>
    <w:rsid w:val="00432C51"/>
    <w:rsid w:val="004436CB"/>
    <w:rsid w:val="0044442D"/>
    <w:rsid w:val="0044529C"/>
    <w:rsid w:val="00447A91"/>
    <w:rsid w:val="0045210C"/>
    <w:rsid w:val="004531C9"/>
    <w:rsid w:val="004536DB"/>
    <w:rsid w:val="00453F12"/>
    <w:rsid w:val="004573F0"/>
    <w:rsid w:val="00460BC7"/>
    <w:rsid w:val="00461349"/>
    <w:rsid w:val="00461388"/>
    <w:rsid w:val="004615C3"/>
    <w:rsid w:val="00461F26"/>
    <w:rsid w:val="004622AE"/>
    <w:rsid w:val="004705EA"/>
    <w:rsid w:val="00470861"/>
    <w:rsid w:val="00471495"/>
    <w:rsid w:val="00474609"/>
    <w:rsid w:val="00474D15"/>
    <w:rsid w:val="00477698"/>
    <w:rsid w:val="0048023E"/>
    <w:rsid w:val="00481B3E"/>
    <w:rsid w:val="00483500"/>
    <w:rsid w:val="004874F6"/>
    <w:rsid w:val="00487ABD"/>
    <w:rsid w:val="00487EF9"/>
    <w:rsid w:val="004924AD"/>
    <w:rsid w:val="00492D56"/>
    <w:rsid w:val="004963F8"/>
    <w:rsid w:val="00496DE1"/>
    <w:rsid w:val="004A27D2"/>
    <w:rsid w:val="004A310E"/>
    <w:rsid w:val="004A39D0"/>
    <w:rsid w:val="004A4282"/>
    <w:rsid w:val="004A7623"/>
    <w:rsid w:val="004B4233"/>
    <w:rsid w:val="004B47EE"/>
    <w:rsid w:val="004B539C"/>
    <w:rsid w:val="004B589D"/>
    <w:rsid w:val="004C2D4C"/>
    <w:rsid w:val="004C35A2"/>
    <w:rsid w:val="004C3BEA"/>
    <w:rsid w:val="004C7C25"/>
    <w:rsid w:val="004C7F55"/>
    <w:rsid w:val="004D2457"/>
    <w:rsid w:val="004D7212"/>
    <w:rsid w:val="004E1BE5"/>
    <w:rsid w:val="004E345E"/>
    <w:rsid w:val="004E408F"/>
    <w:rsid w:val="004E4DEB"/>
    <w:rsid w:val="004F04AC"/>
    <w:rsid w:val="004F4076"/>
    <w:rsid w:val="004F5BA3"/>
    <w:rsid w:val="004F631E"/>
    <w:rsid w:val="005028A3"/>
    <w:rsid w:val="00506AA9"/>
    <w:rsid w:val="00510662"/>
    <w:rsid w:val="00513C48"/>
    <w:rsid w:val="005158BD"/>
    <w:rsid w:val="005217FF"/>
    <w:rsid w:val="00522BD6"/>
    <w:rsid w:val="00524EFB"/>
    <w:rsid w:val="0052561B"/>
    <w:rsid w:val="00525744"/>
    <w:rsid w:val="0052651D"/>
    <w:rsid w:val="0052669E"/>
    <w:rsid w:val="00526DF7"/>
    <w:rsid w:val="00527198"/>
    <w:rsid w:val="00531E75"/>
    <w:rsid w:val="0053363E"/>
    <w:rsid w:val="00534F1C"/>
    <w:rsid w:val="005359AB"/>
    <w:rsid w:val="00535CC0"/>
    <w:rsid w:val="005373C3"/>
    <w:rsid w:val="0053782C"/>
    <w:rsid w:val="005447ED"/>
    <w:rsid w:val="00544914"/>
    <w:rsid w:val="00545059"/>
    <w:rsid w:val="00546B91"/>
    <w:rsid w:val="00550337"/>
    <w:rsid w:val="0055084F"/>
    <w:rsid w:val="00552106"/>
    <w:rsid w:val="00552A2D"/>
    <w:rsid w:val="00552BB0"/>
    <w:rsid w:val="00554617"/>
    <w:rsid w:val="00555F47"/>
    <w:rsid w:val="005614E7"/>
    <w:rsid w:val="005617A5"/>
    <w:rsid w:val="005631F1"/>
    <w:rsid w:val="00564484"/>
    <w:rsid w:val="00564A54"/>
    <w:rsid w:val="00565815"/>
    <w:rsid w:val="005667A3"/>
    <w:rsid w:val="005678DC"/>
    <w:rsid w:val="00567E0E"/>
    <w:rsid w:val="00567F16"/>
    <w:rsid w:val="00570B95"/>
    <w:rsid w:val="00573172"/>
    <w:rsid w:val="00574063"/>
    <w:rsid w:val="0057793A"/>
    <w:rsid w:val="005802E1"/>
    <w:rsid w:val="005816C4"/>
    <w:rsid w:val="00581C1C"/>
    <w:rsid w:val="00582EF8"/>
    <w:rsid w:val="00583895"/>
    <w:rsid w:val="00584177"/>
    <w:rsid w:val="0058654B"/>
    <w:rsid w:val="00586EDD"/>
    <w:rsid w:val="005873DE"/>
    <w:rsid w:val="00590A51"/>
    <w:rsid w:val="00596BD3"/>
    <w:rsid w:val="005A05D7"/>
    <w:rsid w:val="005A0F89"/>
    <w:rsid w:val="005A4A49"/>
    <w:rsid w:val="005A4B24"/>
    <w:rsid w:val="005A4E0B"/>
    <w:rsid w:val="005A6293"/>
    <w:rsid w:val="005A6A30"/>
    <w:rsid w:val="005A6B37"/>
    <w:rsid w:val="005A76CF"/>
    <w:rsid w:val="005B20C7"/>
    <w:rsid w:val="005B2BF9"/>
    <w:rsid w:val="005B30E5"/>
    <w:rsid w:val="005B55C4"/>
    <w:rsid w:val="005B5D99"/>
    <w:rsid w:val="005B68D6"/>
    <w:rsid w:val="005B78F4"/>
    <w:rsid w:val="005C228B"/>
    <w:rsid w:val="005C33EB"/>
    <w:rsid w:val="005C4ECB"/>
    <w:rsid w:val="005C5ECC"/>
    <w:rsid w:val="005D18E7"/>
    <w:rsid w:val="005D246A"/>
    <w:rsid w:val="005D3AAA"/>
    <w:rsid w:val="005D4901"/>
    <w:rsid w:val="005D4A47"/>
    <w:rsid w:val="005D516D"/>
    <w:rsid w:val="005D6D45"/>
    <w:rsid w:val="005D7E31"/>
    <w:rsid w:val="005E2298"/>
    <w:rsid w:val="005E49E2"/>
    <w:rsid w:val="005E5141"/>
    <w:rsid w:val="005E5C23"/>
    <w:rsid w:val="005F19A7"/>
    <w:rsid w:val="005F45E4"/>
    <w:rsid w:val="005F724B"/>
    <w:rsid w:val="005F7A78"/>
    <w:rsid w:val="00600A05"/>
    <w:rsid w:val="00602BBD"/>
    <w:rsid w:val="00602C9E"/>
    <w:rsid w:val="0060428A"/>
    <w:rsid w:val="006042BF"/>
    <w:rsid w:val="00604332"/>
    <w:rsid w:val="00604C24"/>
    <w:rsid w:val="00604C3F"/>
    <w:rsid w:val="00606DEC"/>
    <w:rsid w:val="0060773E"/>
    <w:rsid w:val="00610895"/>
    <w:rsid w:val="00610A5B"/>
    <w:rsid w:val="006117AA"/>
    <w:rsid w:val="00612B61"/>
    <w:rsid w:val="00613F9B"/>
    <w:rsid w:val="00614C67"/>
    <w:rsid w:val="0061664D"/>
    <w:rsid w:val="00616D02"/>
    <w:rsid w:val="006202B2"/>
    <w:rsid w:val="0062202E"/>
    <w:rsid w:val="006231E7"/>
    <w:rsid w:val="00625409"/>
    <w:rsid w:val="006255FD"/>
    <w:rsid w:val="0062599F"/>
    <w:rsid w:val="00625A71"/>
    <w:rsid w:val="0063131B"/>
    <w:rsid w:val="00631D46"/>
    <w:rsid w:val="006326B9"/>
    <w:rsid w:val="0063494A"/>
    <w:rsid w:val="00636661"/>
    <w:rsid w:val="006418D2"/>
    <w:rsid w:val="00642025"/>
    <w:rsid w:val="00643A35"/>
    <w:rsid w:val="006444CE"/>
    <w:rsid w:val="006450AE"/>
    <w:rsid w:val="00646E8D"/>
    <w:rsid w:val="00652FF7"/>
    <w:rsid w:val="0065415B"/>
    <w:rsid w:val="00655659"/>
    <w:rsid w:val="00656141"/>
    <w:rsid w:val="00656265"/>
    <w:rsid w:val="0065646B"/>
    <w:rsid w:val="0066076B"/>
    <w:rsid w:val="00663CC7"/>
    <w:rsid w:val="0066503F"/>
    <w:rsid w:val="0066632C"/>
    <w:rsid w:val="00667053"/>
    <w:rsid w:val="00670307"/>
    <w:rsid w:val="00672312"/>
    <w:rsid w:val="00672C71"/>
    <w:rsid w:val="00674166"/>
    <w:rsid w:val="00674661"/>
    <w:rsid w:val="00675359"/>
    <w:rsid w:val="0067769E"/>
    <w:rsid w:val="006779D3"/>
    <w:rsid w:val="00680742"/>
    <w:rsid w:val="006829BE"/>
    <w:rsid w:val="00683238"/>
    <w:rsid w:val="00683F1B"/>
    <w:rsid w:val="006864DA"/>
    <w:rsid w:val="00690059"/>
    <w:rsid w:val="00691263"/>
    <w:rsid w:val="00692401"/>
    <w:rsid w:val="00694E5D"/>
    <w:rsid w:val="00696008"/>
    <w:rsid w:val="00696A9F"/>
    <w:rsid w:val="006973F2"/>
    <w:rsid w:val="00697CED"/>
    <w:rsid w:val="006A257E"/>
    <w:rsid w:val="006A2748"/>
    <w:rsid w:val="006A2776"/>
    <w:rsid w:val="006A27B3"/>
    <w:rsid w:val="006A3B41"/>
    <w:rsid w:val="006A5CAD"/>
    <w:rsid w:val="006A60DB"/>
    <w:rsid w:val="006A70C7"/>
    <w:rsid w:val="006B101D"/>
    <w:rsid w:val="006B1BA6"/>
    <w:rsid w:val="006C1225"/>
    <w:rsid w:val="006C18E4"/>
    <w:rsid w:val="006C1F88"/>
    <w:rsid w:val="006C3EF3"/>
    <w:rsid w:val="006C49EE"/>
    <w:rsid w:val="006C5B6F"/>
    <w:rsid w:val="006C5FAB"/>
    <w:rsid w:val="006C6E08"/>
    <w:rsid w:val="006C7449"/>
    <w:rsid w:val="006C7745"/>
    <w:rsid w:val="006C7F8F"/>
    <w:rsid w:val="006D293D"/>
    <w:rsid w:val="006D2CFA"/>
    <w:rsid w:val="006D333A"/>
    <w:rsid w:val="006D3DE4"/>
    <w:rsid w:val="006D6E89"/>
    <w:rsid w:val="006E271F"/>
    <w:rsid w:val="006E73E4"/>
    <w:rsid w:val="006E7F02"/>
    <w:rsid w:val="006F2660"/>
    <w:rsid w:val="006F3BEF"/>
    <w:rsid w:val="006F4D50"/>
    <w:rsid w:val="006F5270"/>
    <w:rsid w:val="006F6867"/>
    <w:rsid w:val="006F6D4E"/>
    <w:rsid w:val="006F79EA"/>
    <w:rsid w:val="00702487"/>
    <w:rsid w:val="00706439"/>
    <w:rsid w:val="007064AD"/>
    <w:rsid w:val="00706BC2"/>
    <w:rsid w:val="00710850"/>
    <w:rsid w:val="00711785"/>
    <w:rsid w:val="0071613E"/>
    <w:rsid w:val="00720C6A"/>
    <w:rsid w:val="007211AF"/>
    <w:rsid w:val="00723258"/>
    <w:rsid w:val="00726208"/>
    <w:rsid w:val="00730076"/>
    <w:rsid w:val="00730C89"/>
    <w:rsid w:val="0073249B"/>
    <w:rsid w:val="00732545"/>
    <w:rsid w:val="00733A9A"/>
    <w:rsid w:val="007342DD"/>
    <w:rsid w:val="007348B4"/>
    <w:rsid w:val="00735074"/>
    <w:rsid w:val="00735C14"/>
    <w:rsid w:val="00736C2F"/>
    <w:rsid w:val="00742C3C"/>
    <w:rsid w:val="007450CE"/>
    <w:rsid w:val="0075005B"/>
    <w:rsid w:val="007510FF"/>
    <w:rsid w:val="00761622"/>
    <w:rsid w:val="00761713"/>
    <w:rsid w:val="0076198E"/>
    <w:rsid w:val="00764A2A"/>
    <w:rsid w:val="007660F5"/>
    <w:rsid w:val="007670F2"/>
    <w:rsid w:val="00770D1B"/>
    <w:rsid w:val="00772DC1"/>
    <w:rsid w:val="00774386"/>
    <w:rsid w:val="00775C7E"/>
    <w:rsid w:val="00780139"/>
    <w:rsid w:val="00785D95"/>
    <w:rsid w:val="00786A7E"/>
    <w:rsid w:val="007878D0"/>
    <w:rsid w:val="00791D91"/>
    <w:rsid w:val="00793194"/>
    <w:rsid w:val="00795A6E"/>
    <w:rsid w:val="0079729A"/>
    <w:rsid w:val="00797382"/>
    <w:rsid w:val="007A35F3"/>
    <w:rsid w:val="007A4690"/>
    <w:rsid w:val="007A4740"/>
    <w:rsid w:val="007A4858"/>
    <w:rsid w:val="007A485F"/>
    <w:rsid w:val="007A7472"/>
    <w:rsid w:val="007B157E"/>
    <w:rsid w:val="007B1C63"/>
    <w:rsid w:val="007B3390"/>
    <w:rsid w:val="007B33C2"/>
    <w:rsid w:val="007B34DD"/>
    <w:rsid w:val="007B3F18"/>
    <w:rsid w:val="007B41BB"/>
    <w:rsid w:val="007B4C24"/>
    <w:rsid w:val="007B4D52"/>
    <w:rsid w:val="007B5072"/>
    <w:rsid w:val="007B61E3"/>
    <w:rsid w:val="007C2548"/>
    <w:rsid w:val="007C408A"/>
    <w:rsid w:val="007C4C8F"/>
    <w:rsid w:val="007C58F9"/>
    <w:rsid w:val="007C6674"/>
    <w:rsid w:val="007C6AC7"/>
    <w:rsid w:val="007C7C47"/>
    <w:rsid w:val="007D1451"/>
    <w:rsid w:val="007D277F"/>
    <w:rsid w:val="007D2D15"/>
    <w:rsid w:val="007D53AA"/>
    <w:rsid w:val="007D6506"/>
    <w:rsid w:val="007E037D"/>
    <w:rsid w:val="007E2358"/>
    <w:rsid w:val="007E2861"/>
    <w:rsid w:val="007E33BF"/>
    <w:rsid w:val="007E6DAF"/>
    <w:rsid w:val="007E75F5"/>
    <w:rsid w:val="007E7ED2"/>
    <w:rsid w:val="007F0051"/>
    <w:rsid w:val="007F04B2"/>
    <w:rsid w:val="007F3837"/>
    <w:rsid w:val="007F6466"/>
    <w:rsid w:val="007F73FA"/>
    <w:rsid w:val="00803C15"/>
    <w:rsid w:val="0080454C"/>
    <w:rsid w:val="00805994"/>
    <w:rsid w:val="0080777F"/>
    <w:rsid w:val="00816865"/>
    <w:rsid w:val="00817DF1"/>
    <w:rsid w:val="00820A66"/>
    <w:rsid w:val="00822E95"/>
    <w:rsid w:val="00823A22"/>
    <w:rsid w:val="00823EA5"/>
    <w:rsid w:val="00824875"/>
    <w:rsid w:val="008250ED"/>
    <w:rsid w:val="0082548D"/>
    <w:rsid w:val="00825D42"/>
    <w:rsid w:val="008265F7"/>
    <w:rsid w:val="008269AF"/>
    <w:rsid w:val="00840CE8"/>
    <w:rsid w:val="00841D3D"/>
    <w:rsid w:val="00845763"/>
    <w:rsid w:val="00847093"/>
    <w:rsid w:val="00851340"/>
    <w:rsid w:val="008613F3"/>
    <w:rsid w:val="0086583E"/>
    <w:rsid w:val="008658EE"/>
    <w:rsid w:val="00867717"/>
    <w:rsid w:val="00867CF0"/>
    <w:rsid w:val="008703C5"/>
    <w:rsid w:val="00872586"/>
    <w:rsid w:val="00873671"/>
    <w:rsid w:val="00875A51"/>
    <w:rsid w:val="00876E25"/>
    <w:rsid w:val="00877054"/>
    <w:rsid w:val="00877156"/>
    <w:rsid w:val="00877BDA"/>
    <w:rsid w:val="00880691"/>
    <w:rsid w:val="00880F15"/>
    <w:rsid w:val="008872B9"/>
    <w:rsid w:val="0088761A"/>
    <w:rsid w:val="00890028"/>
    <w:rsid w:val="0089110A"/>
    <w:rsid w:val="0089194A"/>
    <w:rsid w:val="00892F28"/>
    <w:rsid w:val="00892F52"/>
    <w:rsid w:val="00897ED5"/>
    <w:rsid w:val="008A0196"/>
    <w:rsid w:val="008A0216"/>
    <w:rsid w:val="008A265C"/>
    <w:rsid w:val="008A2CFB"/>
    <w:rsid w:val="008A51A5"/>
    <w:rsid w:val="008A57E1"/>
    <w:rsid w:val="008A57E3"/>
    <w:rsid w:val="008A606E"/>
    <w:rsid w:val="008B049F"/>
    <w:rsid w:val="008B0875"/>
    <w:rsid w:val="008B0E49"/>
    <w:rsid w:val="008B1F12"/>
    <w:rsid w:val="008B2A85"/>
    <w:rsid w:val="008B3A4D"/>
    <w:rsid w:val="008B3D36"/>
    <w:rsid w:val="008B58A2"/>
    <w:rsid w:val="008B61A1"/>
    <w:rsid w:val="008B6884"/>
    <w:rsid w:val="008C1415"/>
    <w:rsid w:val="008C1BEF"/>
    <w:rsid w:val="008C1E01"/>
    <w:rsid w:val="008C3943"/>
    <w:rsid w:val="008C450F"/>
    <w:rsid w:val="008C532B"/>
    <w:rsid w:val="008C75A6"/>
    <w:rsid w:val="008D1A82"/>
    <w:rsid w:val="008D3AB3"/>
    <w:rsid w:val="008D3D7A"/>
    <w:rsid w:val="008D72E0"/>
    <w:rsid w:val="008E0A2A"/>
    <w:rsid w:val="008E138A"/>
    <w:rsid w:val="008E3F5F"/>
    <w:rsid w:val="008E40D5"/>
    <w:rsid w:val="008E6964"/>
    <w:rsid w:val="008E69DE"/>
    <w:rsid w:val="008E6DE6"/>
    <w:rsid w:val="008E7AE0"/>
    <w:rsid w:val="008F3BA2"/>
    <w:rsid w:val="008F51A9"/>
    <w:rsid w:val="008F7AC5"/>
    <w:rsid w:val="0090236C"/>
    <w:rsid w:val="009041DB"/>
    <w:rsid w:val="00905A38"/>
    <w:rsid w:val="00905C29"/>
    <w:rsid w:val="009060B9"/>
    <w:rsid w:val="009126AA"/>
    <w:rsid w:val="009220E9"/>
    <w:rsid w:val="00923549"/>
    <w:rsid w:val="00925DDB"/>
    <w:rsid w:val="009273D7"/>
    <w:rsid w:val="00932099"/>
    <w:rsid w:val="00934FAE"/>
    <w:rsid w:val="00935F9A"/>
    <w:rsid w:val="00936D49"/>
    <w:rsid w:val="009404E8"/>
    <w:rsid w:val="00942D7B"/>
    <w:rsid w:val="00946688"/>
    <w:rsid w:val="00952149"/>
    <w:rsid w:val="00952BA3"/>
    <w:rsid w:val="00954A21"/>
    <w:rsid w:val="00955562"/>
    <w:rsid w:val="009577BE"/>
    <w:rsid w:val="00960CD8"/>
    <w:rsid w:val="0096517D"/>
    <w:rsid w:val="0096763C"/>
    <w:rsid w:val="009679F9"/>
    <w:rsid w:val="00967A67"/>
    <w:rsid w:val="00970203"/>
    <w:rsid w:val="00972A48"/>
    <w:rsid w:val="009732B8"/>
    <w:rsid w:val="00975F47"/>
    <w:rsid w:val="0098133D"/>
    <w:rsid w:val="00981533"/>
    <w:rsid w:val="009839E5"/>
    <w:rsid w:val="00983CAB"/>
    <w:rsid w:val="0098505F"/>
    <w:rsid w:val="00986039"/>
    <w:rsid w:val="00990F13"/>
    <w:rsid w:val="009926E5"/>
    <w:rsid w:val="00994365"/>
    <w:rsid w:val="009A0FB9"/>
    <w:rsid w:val="009A3CC0"/>
    <w:rsid w:val="009A3FEF"/>
    <w:rsid w:val="009A40E2"/>
    <w:rsid w:val="009A5250"/>
    <w:rsid w:val="009A538A"/>
    <w:rsid w:val="009A5685"/>
    <w:rsid w:val="009A7284"/>
    <w:rsid w:val="009A7BE9"/>
    <w:rsid w:val="009B1893"/>
    <w:rsid w:val="009B2093"/>
    <w:rsid w:val="009B3A1A"/>
    <w:rsid w:val="009B3BA4"/>
    <w:rsid w:val="009B47D1"/>
    <w:rsid w:val="009B50E9"/>
    <w:rsid w:val="009B5663"/>
    <w:rsid w:val="009B7551"/>
    <w:rsid w:val="009C1D81"/>
    <w:rsid w:val="009C403B"/>
    <w:rsid w:val="009C408C"/>
    <w:rsid w:val="009C5E44"/>
    <w:rsid w:val="009C6F88"/>
    <w:rsid w:val="009C74EB"/>
    <w:rsid w:val="009D138B"/>
    <w:rsid w:val="009D292B"/>
    <w:rsid w:val="009D3CE0"/>
    <w:rsid w:val="009D41BE"/>
    <w:rsid w:val="009D432A"/>
    <w:rsid w:val="009D4D06"/>
    <w:rsid w:val="009D5540"/>
    <w:rsid w:val="009D653C"/>
    <w:rsid w:val="009E0AF7"/>
    <w:rsid w:val="009E17FD"/>
    <w:rsid w:val="009E1F3A"/>
    <w:rsid w:val="009E42EA"/>
    <w:rsid w:val="009E7704"/>
    <w:rsid w:val="009F1458"/>
    <w:rsid w:val="009F6180"/>
    <w:rsid w:val="00A00C00"/>
    <w:rsid w:val="00A033FC"/>
    <w:rsid w:val="00A05218"/>
    <w:rsid w:val="00A05A31"/>
    <w:rsid w:val="00A05B82"/>
    <w:rsid w:val="00A05FCA"/>
    <w:rsid w:val="00A065CA"/>
    <w:rsid w:val="00A075FF"/>
    <w:rsid w:val="00A10808"/>
    <w:rsid w:val="00A140F6"/>
    <w:rsid w:val="00A15921"/>
    <w:rsid w:val="00A169D9"/>
    <w:rsid w:val="00A17529"/>
    <w:rsid w:val="00A176B5"/>
    <w:rsid w:val="00A20FC2"/>
    <w:rsid w:val="00A21160"/>
    <w:rsid w:val="00A219AB"/>
    <w:rsid w:val="00A21E82"/>
    <w:rsid w:val="00A22371"/>
    <w:rsid w:val="00A25A8E"/>
    <w:rsid w:val="00A27752"/>
    <w:rsid w:val="00A27853"/>
    <w:rsid w:val="00A27CA2"/>
    <w:rsid w:val="00A32898"/>
    <w:rsid w:val="00A33952"/>
    <w:rsid w:val="00A33FF7"/>
    <w:rsid w:val="00A343E1"/>
    <w:rsid w:val="00A42858"/>
    <w:rsid w:val="00A42DBB"/>
    <w:rsid w:val="00A45A63"/>
    <w:rsid w:val="00A51CDE"/>
    <w:rsid w:val="00A52448"/>
    <w:rsid w:val="00A54A5D"/>
    <w:rsid w:val="00A56AD2"/>
    <w:rsid w:val="00A61091"/>
    <w:rsid w:val="00A622A5"/>
    <w:rsid w:val="00A636AE"/>
    <w:rsid w:val="00A65DB9"/>
    <w:rsid w:val="00A67DAE"/>
    <w:rsid w:val="00A702D4"/>
    <w:rsid w:val="00A70D9C"/>
    <w:rsid w:val="00A70F55"/>
    <w:rsid w:val="00A72538"/>
    <w:rsid w:val="00A76E09"/>
    <w:rsid w:val="00A8399B"/>
    <w:rsid w:val="00A86A0F"/>
    <w:rsid w:val="00A86FA4"/>
    <w:rsid w:val="00A94693"/>
    <w:rsid w:val="00A959F3"/>
    <w:rsid w:val="00A96E9A"/>
    <w:rsid w:val="00A97984"/>
    <w:rsid w:val="00AB0ECF"/>
    <w:rsid w:val="00AB136D"/>
    <w:rsid w:val="00AB1B48"/>
    <w:rsid w:val="00AB459D"/>
    <w:rsid w:val="00AB6D53"/>
    <w:rsid w:val="00AC1690"/>
    <w:rsid w:val="00AC39D3"/>
    <w:rsid w:val="00AC408B"/>
    <w:rsid w:val="00AC4A98"/>
    <w:rsid w:val="00AC4E7E"/>
    <w:rsid w:val="00AC517A"/>
    <w:rsid w:val="00AC5D2F"/>
    <w:rsid w:val="00AC610D"/>
    <w:rsid w:val="00AC7D19"/>
    <w:rsid w:val="00AD2014"/>
    <w:rsid w:val="00AD30D4"/>
    <w:rsid w:val="00AD30DF"/>
    <w:rsid w:val="00AD3B43"/>
    <w:rsid w:val="00AD4E83"/>
    <w:rsid w:val="00AD4F52"/>
    <w:rsid w:val="00AD5526"/>
    <w:rsid w:val="00AD5A9A"/>
    <w:rsid w:val="00AD7E53"/>
    <w:rsid w:val="00AE19EE"/>
    <w:rsid w:val="00AE2D8D"/>
    <w:rsid w:val="00AE34BE"/>
    <w:rsid w:val="00AE6F63"/>
    <w:rsid w:val="00AF0408"/>
    <w:rsid w:val="00AF0BFC"/>
    <w:rsid w:val="00AF16EE"/>
    <w:rsid w:val="00AF2E8D"/>
    <w:rsid w:val="00AF377D"/>
    <w:rsid w:val="00B0363C"/>
    <w:rsid w:val="00B11607"/>
    <w:rsid w:val="00B11ACC"/>
    <w:rsid w:val="00B11B87"/>
    <w:rsid w:val="00B127E8"/>
    <w:rsid w:val="00B17096"/>
    <w:rsid w:val="00B17A95"/>
    <w:rsid w:val="00B20F74"/>
    <w:rsid w:val="00B22FE6"/>
    <w:rsid w:val="00B24B1B"/>
    <w:rsid w:val="00B26A28"/>
    <w:rsid w:val="00B271F7"/>
    <w:rsid w:val="00B27791"/>
    <w:rsid w:val="00B27B2C"/>
    <w:rsid w:val="00B30161"/>
    <w:rsid w:val="00B30361"/>
    <w:rsid w:val="00B310E5"/>
    <w:rsid w:val="00B31846"/>
    <w:rsid w:val="00B31A89"/>
    <w:rsid w:val="00B35022"/>
    <w:rsid w:val="00B35625"/>
    <w:rsid w:val="00B3574F"/>
    <w:rsid w:val="00B4044B"/>
    <w:rsid w:val="00B42CF3"/>
    <w:rsid w:val="00B43AF9"/>
    <w:rsid w:val="00B445A6"/>
    <w:rsid w:val="00B44972"/>
    <w:rsid w:val="00B44F55"/>
    <w:rsid w:val="00B46160"/>
    <w:rsid w:val="00B46714"/>
    <w:rsid w:val="00B46E4B"/>
    <w:rsid w:val="00B47193"/>
    <w:rsid w:val="00B47405"/>
    <w:rsid w:val="00B47DDB"/>
    <w:rsid w:val="00B50D81"/>
    <w:rsid w:val="00B525CE"/>
    <w:rsid w:val="00B60872"/>
    <w:rsid w:val="00B609B6"/>
    <w:rsid w:val="00B61C03"/>
    <w:rsid w:val="00B70598"/>
    <w:rsid w:val="00B70866"/>
    <w:rsid w:val="00B70BA8"/>
    <w:rsid w:val="00B71E97"/>
    <w:rsid w:val="00B7501C"/>
    <w:rsid w:val="00B76AE9"/>
    <w:rsid w:val="00B7717F"/>
    <w:rsid w:val="00B80A9A"/>
    <w:rsid w:val="00B82986"/>
    <w:rsid w:val="00B87D60"/>
    <w:rsid w:val="00B90787"/>
    <w:rsid w:val="00B90816"/>
    <w:rsid w:val="00B90FC2"/>
    <w:rsid w:val="00B926B9"/>
    <w:rsid w:val="00B92C14"/>
    <w:rsid w:val="00B96234"/>
    <w:rsid w:val="00B96D07"/>
    <w:rsid w:val="00BA0F9C"/>
    <w:rsid w:val="00BA1380"/>
    <w:rsid w:val="00BA19AB"/>
    <w:rsid w:val="00BA217F"/>
    <w:rsid w:val="00BA437D"/>
    <w:rsid w:val="00BA71C1"/>
    <w:rsid w:val="00BA7836"/>
    <w:rsid w:val="00BA7B0E"/>
    <w:rsid w:val="00BB14B0"/>
    <w:rsid w:val="00BB300B"/>
    <w:rsid w:val="00BB45C0"/>
    <w:rsid w:val="00BB50C7"/>
    <w:rsid w:val="00BB5208"/>
    <w:rsid w:val="00BB5588"/>
    <w:rsid w:val="00BB6D6F"/>
    <w:rsid w:val="00BB70C5"/>
    <w:rsid w:val="00BB739E"/>
    <w:rsid w:val="00BC071F"/>
    <w:rsid w:val="00BC0754"/>
    <w:rsid w:val="00BC3A35"/>
    <w:rsid w:val="00BC58C4"/>
    <w:rsid w:val="00BC759B"/>
    <w:rsid w:val="00BC76BA"/>
    <w:rsid w:val="00BC7EA2"/>
    <w:rsid w:val="00BD0B67"/>
    <w:rsid w:val="00BD16DA"/>
    <w:rsid w:val="00BD204C"/>
    <w:rsid w:val="00BD377B"/>
    <w:rsid w:val="00BD51B4"/>
    <w:rsid w:val="00BD5963"/>
    <w:rsid w:val="00BD6B68"/>
    <w:rsid w:val="00BE3A26"/>
    <w:rsid w:val="00BE3C7B"/>
    <w:rsid w:val="00BE42EF"/>
    <w:rsid w:val="00BE62C6"/>
    <w:rsid w:val="00BE64DA"/>
    <w:rsid w:val="00BF1F3E"/>
    <w:rsid w:val="00BF20A2"/>
    <w:rsid w:val="00BF2669"/>
    <w:rsid w:val="00BF29E1"/>
    <w:rsid w:val="00BF3E3B"/>
    <w:rsid w:val="00BF4730"/>
    <w:rsid w:val="00BF6469"/>
    <w:rsid w:val="00C00C1A"/>
    <w:rsid w:val="00C03054"/>
    <w:rsid w:val="00C043A2"/>
    <w:rsid w:val="00C06102"/>
    <w:rsid w:val="00C13C4E"/>
    <w:rsid w:val="00C15E48"/>
    <w:rsid w:val="00C21B23"/>
    <w:rsid w:val="00C26CD0"/>
    <w:rsid w:val="00C27FF7"/>
    <w:rsid w:val="00C31200"/>
    <w:rsid w:val="00C31427"/>
    <w:rsid w:val="00C31D13"/>
    <w:rsid w:val="00C3269A"/>
    <w:rsid w:val="00C33539"/>
    <w:rsid w:val="00C33C8C"/>
    <w:rsid w:val="00C36452"/>
    <w:rsid w:val="00C40D15"/>
    <w:rsid w:val="00C426CB"/>
    <w:rsid w:val="00C4491F"/>
    <w:rsid w:val="00C4570C"/>
    <w:rsid w:val="00C45B41"/>
    <w:rsid w:val="00C4757D"/>
    <w:rsid w:val="00C50F75"/>
    <w:rsid w:val="00C51FFF"/>
    <w:rsid w:val="00C548E6"/>
    <w:rsid w:val="00C573DA"/>
    <w:rsid w:val="00C5741E"/>
    <w:rsid w:val="00C57F76"/>
    <w:rsid w:val="00C60374"/>
    <w:rsid w:val="00C607D9"/>
    <w:rsid w:val="00C62EAB"/>
    <w:rsid w:val="00C6371C"/>
    <w:rsid w:val="00C70394"/>
    <w:rsid w:val="00C71441"/>
    <w:rsid w:val="00C715CF"/>
    <w:rsid w:val="00C71676"/>
    <w:rsid w:val="00C71DEA"/>
    <w:rsid w:val="00C72BBB"/>
    <w:rsid w:val="00C72D72"/>
    <w:rsid w:val="00C72FC9"/>
    <w:rsid w:val="00C738D1"/>
    <w:rsid w:val="00C74604"/>
    <w:rsid w:val="00C7600B"/>
    <w:rsid w:val="00C77017"/>
    <w:rsid w:val="00C7761A"/>
    <w:rsid w:val="00C77FD7"/>
    <w:rsid w:val="00C82B79"/>
    <w:rsid w:val="00C84339"/>
    <w:rsid w:val="00C854FA"/>
    <w:rsid w:val="00C870C0"/>
    <w:rsid w:val="00C871C1"/>
    <w:rsid w:val="00C91624"/>
    <w:rsid w:val="00C93084"/>
    <w:rsid w:val="00C93258"/>
    <w:rsid w:val="00C93C02"/>
    <w:rsid w:val="00CA165A"/>
    <w:rsid w:val="00CA1AAB"/>
    <w:rsid w:val="00CA36E1"/>
    <w:rsid w:val="00CA524B"/>
    <w:rsid w:val="00CA5671"/>
    <w:rsid w:val="00CA711C"/>
    <w:rsid w:val="00CB0AB1"/>
    <w:rsid w:val="00CB2EA2"/>
    <w:rsid w:val="00CB315F"/>
    <w:rsid w:val="00CB4132"/>
    <w:rsid w:val="00CB50C7"/>
    <w:rsid w:val="00CB5C72"/>
    <w:rsid w:val="00CB6650"/>
    <w:rsid w:val="00CC08F6"/>
    <w:rsid w:val="00CC12D4"/>
    <w:rsid w:val="00CC17C6"/>
    <w:rsid w:val="00CC2DC3"/>
    <w:rsid w:val="00CC44D8"/>
    <w:rsid w:val="00CC5E06"/>
    <w:rsid w:val="00CC6DCF"/>
    <w:rsid w:val="00CC7BF8"/>
    <w:rsid w:val="00CD1BF7"/>
    <w:rsid w:val="00CD3BAB"/>
    <w:rsid w:val="00CD41B8"/>
    <w:rsid w:val="00CD624A"/>
    <w:rsid w:val="00CD6E55"/>
    <w:rsid w:val="00CD6E66"/>
    <w:rsid w:val="00CE04C1"/>
    <w:rsid w:val="00CE42A7"/>
    <w:rsid w:val="00CE6992"/>
    <w:rsid w:val="00CE7349"/>
    <w:rsid w:val="00CF0DF9"/>
    <w:rsid w:val="00CF30B5"/>
    <w:rsid w:val="00CF3593"/>
    <w:rsid w:val="00CF6225"/>
    <w:rsid w:val="00CF62F3"/>
    <w:rsid w:val="00D00258"/>
    <w:rsid w:val="00D060C3"/>
    <w:rsid w:val="00D06225"/>
    <w:rsid w:val="00D0723E"/>
    <w:rsid w:val="00D07E38"/>
    <w:rsid w:val="00D10506"/>
    <w:rsid w:val="00D11D80"/>
    <w:rsid w:val="00D1352A"/>
    <w:rsid w:val="00D15FDD"/>
    <w:rsid w:val="00D178EC"/>
    <w:rsid w:val="00D17FD6"/>
    <w:rsid w:val="00D21625"/>
    <w:rsid w:val="00D21A9C"/>
    <w:rsid w:val="00D21BEC"/>
    <w:rsid w:val="00D21F3F"/>
    <w:rsid w:val="00D237EF"/>
    <w:rsid w:val="00D242B3"/>
    <w:rsid w:val="00D2445F"/>
    <w:rsid w:val="00D26B28"/>
    <w:rsid w:val="00D270A4"/>
    <w:rsid w:val="00D27694"/>
    <w:rsid w:val="00D27CCC"/>
    <w:rsid w:val="00D27D31"/>
    <w:rsid w:val="00D27E56"/>
    <w:rsid w:val="00D324FF"/>
    <w:rsid w:val="00D32629"/>
    <w:rsid w:val="00D34DC9"/>
    <w:rsid w:val="00D35740"/>
    <w:rsid w:val="00D37B54"/>
    <w:rsid w:val="00D37D44"/>
    <w:rsid w:val="00D425E8"/>
    <w:rsid w:val="00D43A7A"/>
    <w:rsid w:val="00D45DBE"/>
    <w:rsid w:val="00D5177C"/>
    <w:rsid w:val="00D51955"/>
    <w:rsid w:val="00D55268"/>
    <w:rsid w:val="00D55A09"/>
    <w:rsid w:val="00D57EB0"/>
    <w:rsid w:val="00D57ECB"/>
    <w:rsid w:val="00D633DF"/>
    <w:rsid w:val="00D63BF9"/>
    <w:rsid w:val="00D63E96"/>
    <w:rsid w:val="00D64AF5"/>
    <w:rsid w:val="00D66CC1"/>
    <w:rsid w:val="00D677A0"/>
    <w:rsid w:val="00D711D4"/>
    <w:rsid w:val="00D71F24"/>
    <w:rsid w:val="00D7441F"/>
    <w:rsid w:val="00D74A46"/>
    <w:rsid w:val="00D81B6A"/>
    <w:rsid w:val="00D81FAE"/>
    <w:rsid w:val="00D821EE"/>
    <w:rsid w:val="00D835C9"/>
    <w:rsid w:val="00D83850"/>
    <w:rsid w:val="00D8390A"/>
    <w:rsid w:val="00D84108"/>
    <w:rsid w:val="00D857B4"/>
    <w:rsid w:val="00D861F6"/>
    <w:rsid w:val="00D86E90"/>
    <w:rsid w:val="00D90D1F"/>
    <w:rsid w:val="00D922B9"/>
    <w:rsid w:val="00D958BD"/>
    <w:rsid w:val="00D966DC"/>
    <w:rsid w:val="00D96D5D"/>
    <w:rsid w:val="00D9736E"/>
    <w:rsid w:val="00D979BA"/>
    <w:rsid w:val="00DA1D3B"/>
    <w:rsid w:val="00DA3169"/>
    <w:rsid w:val="00DA39FC"/>
    <w:rsid w:val="00DA5A46"/>
    <w:rsid w:val="00DA6206"/>
    <w:rsid w:val="00DA664F"/>
    <w:rsid w:val="00DB0170"/>
    <w:rsid w:val="00DB0DF9"/>
    <w:rsid w:val="00DB2D18"/>
    <w:rsid w:val="00DB3AB4"/>
    <w:rsid w:val="00DB447A"/>
    <w:rsid w:val="00DB4FCA"/>
    <w:rsid w:val="00DB6592"/>
    <w:rsid w:val="00DC0055"/>
    <w:rsid w:val="00DC2082"/>
    <w:rsid w:val="00DC25E7"/>
    <w:rsid w:val="00DC2AE0"/>
    <w:rsid w:val="00DC4B06"/>
    <w:rsid w:val="00DC4B73"/>
    <w:rsid w:val="00DC4CB3"/>
    <w:rsid w:val="00DC5CE3"/>
    <w:rsid w:val="00DD00A9"/>
    <w:rsid w:val="00DD062C"/>
    <w:rsid w:val="00DD28E1"/>
    <w:rsid w:val="00DD34BC"/>
    <w:rsid w:val="00DD533E"/>
    <w:rsid w:val="00DD5649"/>
    <w:rsid w:val="00DD7604"/>
    <w:rsid w:val="00DE0EF7"/>
    <w:rsid w:val="00DE3D7D"/>
    <w:rsid w:val="00DE48DE"/>
    <w:rsid w:val="00DE57D9"/>
    <w:rsid w:val="00DE6F6A"/>
    <w:rsid w:val="00DE7EF7"/>
    <w:rsid w:val="00DF1924"/>
    <w:rsid w:val="00DF1D8E"/>
    <w:rsid w:val="00DF2D6E"/>
    <w:rsid w:val="00DF2DCB"/>
    <w:rsid w:val="00DF3764"/>
    <w:rsid w:val="00DF79AF"/>
    <w:rsid w:val="00E00AE8"/>
    <w:rsid w:val="00E01249"/>
    <w:rsid w:val="00E02978"/>
    <w:rsid w:val="00E03A18"/>
    <w:rsid w:val="00E03FFB"/>
    <w:rsid w:val="00E07200"/>
    <w:rsid w:val="00E07A43"/>
    <w:rsid w:val="00E1010A"/>
    <w:rsid w:val="00E12CAF"/>
    <w:rsid w:val="00E12E12"/>
    <w:rsid w:val="00E15F8B"/>
    <w:rsid w:val="00E20318"/>
    <w:rsid w:val="00E2111B"/>
    <w:rsid w:val="00E22A34"/>
    <w:rsid w:val="00E2360C"/>
    <w:rsid w:val="00E2660B"/>
    <w:rsid w:val="00E26E5B"/>
    <w:rsid w:val="00E31C2A"/>
    <w:rsid w:val="00E33F4E"/>
    <w:rsid w:val="00E340CA"/>
    <w:rsid w:val="00E36D0D"/>
    <w:rsid w:val="00E37E5C"/>
    <w:rsid w:val="00E468CF"/>
    <w:rsid w:val="00E5116B"/>
    <w:rsid w:val="00E521C3"/>
    <w:rsid w:val="00E56A86"/>
    <w:rsid w:val="00E60C8C"/>
    <w:rsid w:val="00E60E2E"/>
    <w:rsid w:val="00E65085"/>
    <w:rsid w:val="00E70CB0"/>
    <w:rsid w:val="00E724E0"/>
    <w:rsid w:val="00E7500E"/>
    <w:rsid w:val="00E75F66"/>
    <w:rsid w:val="00E761B2"/>
    <w:rsid w:val="00E765AF"/>
    <w:rsid w:val="00E77939"/>
    <w:rsid w:val="00E80689"/>
    <w:rsid w:val="00E807D7"/>
    <w:rsid w:val="00E81D5F"/>
    <w:rsid w:val="00E82C2E"/>
    <w:rsid w:val="00E833FE"/>
    <w:rsid w:val="00E83417"/>
    <w:rsid w:val="00E83A79"/>
    <w:rsid w:val="00E846F6"/>
    <w:rsid w:val="00E86005"/>
    <w:rsid w:val="00E91739"/>
    <w:rsid w:val="00E91B4D"/>
    <w:rsid w:val="00E925AE"/>
    <w:rsid w:val="00E93B17"/>
    <w:rsid w:val="00E94326"/>
    <w:rsid w:val="00E966BF"/>
    <w:rsid w:val="00E9716E"/>
    <w:rsid w:val="00EA125D"/>
    <w:rsid w:val="00EA5AE4"/>
    <w:rsid w:val="00EA5D48"/>
    <w:rsid w:val="00EA75E2"/>
    <w:rsid w:val="00EB398B"/>
    <w:rsid w:val="00EB7EB6"/>
    <w:rsid w:val="00EC194A"/>
    <w:rsid w:val="00EC2791"/>
    <w:rsid w:val="00EC28E7"/>
    <w:rsid w:val="00EC3507"/>
    <w:rsid w:val="00EC42A2"/>
    <w:rsid w:val="00EC479F"/>
    <w:rsid w:val="00ED368E"/>
    <w:rsid w:val="00ED427C"/>
    <w:rsid w:val="00ED4D48"/>
    <w:rsid w:val="00ED5B1C"/>
    <w:rsid w:val="00ED71D5"/>
    <w:rsid w:val="00ED7813"/>
    <w:rsid w:val="00EE017E"/>
    <w:rsid w:val="00EE0AB5"/>
    <w:rsid w:val="00EE14F6"/>
    <w:rsid w:val="00EE17D6"/>
    <w:rsid w:val="00EE199A"/>
    <w:rsid w:val="00EE268D"/>
    <w:rsid w:val="00EE27D0"/>
    <w:rsid w:val="00EE46D7"/>
    <w:rsid w:val="00EE4B97"/>
    <w:rsid w:val="00EE5A67"/>
    <w:rsid w:val="00EE5BDE"/>
    <w:rsid w:val="00EF0AC1"/>
    <w:rsid w:val="00EF1792"/>
    <w:rsid w:val="00EF51ED"/>
    <w:rsid w:val="00EF5317"/>
    <w:rsid w:val="00EF5A33"/>
    <w:rsid w:val="00EF72E3"/>
    <w:rsid w:val="00F025AA"/>
    <w:rsid w:val="00F03165"/>
    <w:rsid w:val="00F0407D"/>
    <w:rsid w:val="00F04CBF"/>
    <w:rsid w:val="00F052FB"/>
    <w:rsid w:val="00F07215"/>
    <w:rsid w:val="00F118F0"/>
    <w:rsid w:val="00F12FFF"/>
    <w:rsid w:val="00F1437D"/>
    <w:rsid w:val="00F148E5"/>
    <w:rsid w:val="00F14912"/>
    <w:rsid w:val="00F14F4A"/>
    <w:rsid w:val="00F155DC"/>
    <w:rsid w:val="00F15901"/>
    <w:rsid w:val="00F211B6"/>
    <w:rsid w:val="00F220C2"/>
    <w:rsid w:val="00F22CBE"/>
    <w:rsid w:val="00F23B1A"/>
    <w:rsid w:val="00F24C8D"/>
    <w:rsid w:val="00F24EE4"/>
    <w:rsid w:val="00F25A11"/>
    <w:rsid w:val="00F3518B"/>
    <w:rsid w:val="00F40851"/>
    <w:rsid w:val="00F40855"/>
    <w:rsid w:val="00F41BFB"/>
    <w:rsid w:val="00F45F6C"/>
    <w:rsid w:val="00F46016"/>
    <w:rsid w:val="00F4679B"/>
    <w:rsid w:val="00F469B9"/>
    <w:rsid w:val="00F46D9C"/>
    <w:rsid w:val="00F475A9"/>
    <w:rsid w:val="00F47632"/>
    <w:rsid w:val="00F50B56"/>
    <w:rsid w:val="00F50C10"/>
    <w:rsid w:val="00F526BB"/>
    <w:rsid w:val="00F53E2E"/>
    <w:rsid w:val="00F559D4"/>
    <w:rsid w:val="00F63426"/>
    <w:rsid w:val="00F63443"/>
    <w:rsid w:val="00F665D8"/>
    <w:rsid w:val="00F66BEE"/>
    <w:rsid w:val="00F67B78"/>
    <w:rsid w:val="00F70C06"/>
    <w:rsid w:val="00F72D6B"/>
    <w:rsid w:val="00F804B2"/>
    <w:rsid w:val="00F80F9F"/>
    <w:rsid w:val="00F841E8"/>
    <w:rsid w:val="00F95A76"/>
    <w:rsid w:val="00F960BD"/>
    <w:rsid w:val="00F96932"/>
    <w:rsid w:val="00F9723B"/>
    <w:rsid w:val="00FA014A"/>
    <w:rsid w:val="00FA6844"/>
    <w:rsid w:val="00FA7AC6"/>
    <w:rsid w:val="00FA7E0B"/>
    <w:rsid w:val="00FB3B3A"/>
    <w:rsid w:val="00FB3D61"/>
    <w:rsid w:val="00FB4D25"/>
    <w:rsid w:val="00FB7F23"/>
    <w:rsid w:val="00FC3DF8"/>
    <w:rsid w:val="00FC64BB"/>
    <w:rsid w:val="00FD01DD"/>
    <w:rsid w:val="00FD0AA3"/>
    <w:rsid w:val="00FD1D18"/>
    <w:rsid w:val="00FD2089"/>
    <w:rsid w:val="00FD2CCE"/>
    <w:rsid w:val="00FD5822"/>
    <w:rsid w:val="00FD6432"/>
    <w:rsid w:val="00FD7493"/>
    <w:rsid w:val="00FD781D"/>
    <w:rsid w:val="00FD7CAA"/>
    <w:rsid w:val="00FE0812"/>
    <w:rsid w:val="00FE0B15"/>
    <w:rsid w:val="00FE0BC8"/>
    <w:rsid w:val="00FE1D75"/>
    <w:rsid w:val="00FE2AAD"/>
    <w:rsid w:val="00FE4A6C"/>
    <w:rsid w:val="00FE5C99"/>
    <w:rsid w:val="00FE65FC"/>
    <w:rsid w:val="00FE7789"/>
    <w:rsid w:val="00FF0E8C"/>
    <w:rsid w:val="00FF2666"/>
    <w:rsid w:val="00FF55E1"/>
    <w:rsid w:val="00FF5A6E"/>
    <w:rsid w:val="00FF69E6"/>
    <w:rsid w:val="00FF6E7C"/>
    <w:rsid w:val="00FF7A50"/>
    <w:rsid w:val="010B76A3"/>
    <w:rsid w:val="01112B90"/>
    <w:rsid w:val="012104EA"/>
    <w:rsid w:val="015B022A"/>
    <w:rsid w:val="01EB19AE"/>
    <w:rsid w:val="020823CE"/>
    <w:rsid w:val="02151639"/>
    <w:rsid w:val="027D02CC"/>
    <w:rsid w:val="027E53EC"/>
    <w:rsid w:val="028618F7"/>
    <w:rsid w:val="02947688"/>
    <w:rsid w:val="029E1C0F"/>
    <w:rsid w:val="02AF7D6A"/>
    <w:rsid w:val="02B57432"/>
    <w:rsid w:val="034B004E"/>
    <w:rsid w:val="03AA44F3"/>
    <w:rsid w:val="03EA0588"/>
    <w:rsid w:val="04623E3F"/>
    <w:rsid w:val="048F3584"/>
    <w:rsid w:val="049D3F6A"/>
    <w:rsid w:val="04A11C60"/>
    <w:rsid w:val="04A60AFE"/>
    <w:rsid w:val="04A71758"/>
    <w:rsid w:val="04BF16F7"/>
    <w:rsid w:val="05494410"/>
    <w:rsid w:val="05AB5C23"/>
    <w:rsid w:val="05B92D59"/>
    <w:rsid w:val="05D162ED"/>
    <w:rsid w:val="060308AC"/>
    <w:rsid w:val="06261DD9"/>
    <w:rsid w:val="067B5CDA"/>
    <w:rsid w:val="0681050C"/>
    <w:rsid w:val="06B20495"/>
    <w:rsid w:val="06CD4A64"/>
    <w:rsid w:val="06D22264"/>
    <w:rsid w:val="06DC1067"/>
    <w:rsid w:val="07162464"/>
    <w:rsid w:val="072D6C8B"/>
    <w:rsid w:val="076108B6"/>
    <w:rsid w:val="07864F92"/>
    <w:rsid w:val="079F671D"/>
    <w:rsid w:val="07A02903"/>
    <w:rsid w:val="07A948FE"/>
    <w:rsid w:val="07AE35A7"/>
    <w:rsid w:val="07D06F6E"/>
    <w:rsid w:val="07F12E00"/>
    <w:rsid w:val="07F650E6"/>
    <w:rsid w:val="085A6FC3"/>
    <w:rsid w:val="085B3C3F"/>
    <w:rsid w:val="08F621A2"/>
    <w:rsid w:val="092C63C7"/>
    <w:rsid w:val="093611F4"/>
    <w:rsid w:val="09424A96"/>
    <w:rsid w:val="09450540"/>
    <w:rsid w:val="096C120D"/>
    <w:rsid w:val="0979093E"/>
    <w:rsid w:val="09856408"/>
    <w:rsid w:val="0A4A0448"/>
    <w:rsid w:val="0A5661C6"/>
    <w:rsid w:val="0A8A408A"/>
    <w:rsid w:val="0AA71682"/>
    <w:rsid w:val="0B1A7924"/>
    <w:rsid w:val="0B1B127E"/>
    <w:rsid w:val="0B260B14"/>
    <w:rsid w:val="0B87400C"/>
    <w:rsid w:val="0B9560E7"/>
    <w:rsid w:val="0B9E676C"/>
    <w:rsid w:val="0BBF2781"/>
    <w:rsid w:val="0BCB2F4C"/>
    <w:rsid w:val="0C580B2D"/>
    <w:rsid w:val="0C696A4A"/>
    <w:rsid w:val="0C824D94"/>
    <w:rsid w:val="0CAC423F"/>
    <w:rsid w:val="0D5F6E86"/>
    <w:rsid w:val="0D7165C1"/>
    <w:rsid w:val="0D730CBF"/>
    <w:rsid w:val="0DDA574E"/>
    <w:rsid w:val="0E054740"/>
    <w:rsid w:val="0E0E610A"/>
    <w:rsid w:val="0E522CB1"/>
    <w:rsid w:val="0E585C29"/>
    <w:rsid w:val="0EA5488F"/>
    <w:rsid w:val="0EB978E5"/>
    <w:rsid w:val="0EE67E01"/>
    <w:rsid w:val="0F0162A8"/>
    <w:rsid w:val="0F151936"/>
    <w:rsid w:val="0F52450C"/>
    <w:rsid w:val="0F85409C"/>
    <w:rsid w:val="0F907F95"/>
    <w:rsid w:val="0FD669A1"/>
    <w:rsid w:val="104A71B2"/>
    <w:rsid w:val="10620500"/>
    <w:rsid w:val="107D3DF3"/>
    <w:rsid w:val="114A2AEE"/>
    <w:rsid w:val="1196500F"/>
    <w:rsid w:val="11A92B07"/>
    <w:rsid w:val="11D14264"/>
    <w:rsid w:val="12473E3E"/>
    <w:rsid w:val="12557298"/>
    <w:rsid w:val="126A5D96"/>
    <w:rsid w:val="12CE523B"/>
    <w:rsid w:val="13B17C69"/>
    <w:rsid w:val="13BC69D1"/>
    <w:rsid w:val="13D5070A"/>
    <w:rsid w:val="14F360C1"/>
    <w:rsid w:val="15105DA1"/>
    <w:rsid w:val="15433673"/>
    <w:rsid w:val="154E7A09"/>
    <w:rsid w:val="157D6CD0"/>
    <w:rsid w:val="15AA053F"/>
    <w:rsid w:val="160F2C2F"/>
    <w:rsid w:val="162A4220"/>
    <w:rsid w:val="163D0008"/>
    <w:rsid w:val="169D74FB"/>
    <w:rsid w:val="16FB4F43"/>
    <w:rsid w:val="1726793D"/>
    <w:rsid w:val="175B16CC"/>
    <w:rsid w:val="17947A47"/>
    <w:rsid w:val="179661AE"/>
    <w:rsid w:val="17AE7956"/>
    <w:rsid w:val="17C81268"/>
    <w:rsid w:val="17D271A5"/>
    <w:rsid w:val="17DC253A"/>
    <w:rsid w:val="17E2079B"/>
    <w:rsid w:val="18222F3C"/>
    <w:rsid w:val="18D25046"/>
    <w:rsid w:val="18EA696C"/>
    <w:rsid w:val="19101D55"/>
    <w:rsid w:val="192744E1"/>
    <w:rsid w:val="19535F1C"/>
    <w:rsid w:val="19580944"/>
    <w:rsid w:val="19950513"/>
    <w:rsid w:val="1A25633F"/>
    <w:rsid w:val="1A5A2FE1"/>
    <w:rsid w:val="1A75060A"/>
    <w:rsid w:val="1A784EB5"/>
    <w:rsid w:val="1AA96E7D"/>
    <w:rsid w:val="1AD53A75"/>
    <w:rsid w:val="1B092E1C"/>
    <w:rsid w:val="1B2E1B19"/>
    <w:rsid w:val="1B536D59"/>
    <w:rsid w:val="1B7B1224"/>
    <w:rsid w:val="1B8575B5"/>
    <w:rsid w:val="1C002C3B"/>
    <w:rsid w:val="1C160C4B"/>
    <w:rsid w:val="1C383990"/>
    <w:rsid w:val="1C9425BE"/>
    <w:rsid w:val="1C9A4A01"/>
    <w:rsid w:val="1C9C4AB1"/>
    <w:rsid w:val="1CAA08C3"/>
    <w:rsid w:val="1CD17A33"/>
    <w:rsid w:val="1D0E2965"/>
    <w:rsid w:val="1D9C4722"/>
    <w:rsid w:val="1DAE668C"/>
    <w:rsid w:val="1E2D620F"/>
    <w:rsid w:val="1E307726"/>
    <w:rsid w:val="1EA120A5"/>
    <w:rsid w:val="1ECD1065"/>
    <w:rsid w:val="1EF56375"/>
    <w:rsid w:val="1EF857FF"/>
    <w:rsid w:val="1EFD0FE6"/>
    <w:rsid w:val="1F0C41C2"/>
    <w:rsid w:val="1F262FC2"/>
    <w:rsid w:val="1F325180"/>
    <w:rsid w:val="1F3F4ED2"/>
    <w:rsid w:val="1F6052DA"/>
    <w:rsid w:val="1F994517"/>
    <w:rsid w:val="1FDF37F5"/>
    <w:rsid w:val="203D227C"/>
    <w:rsid w:val="20533996"/>
    <w:rsid w:val="20866EBA"/>
    <w:rsid w:val="20971448"/>
    <w:rsid w:val="2117309B"/>
    <w:rsid w:val="2152696C"/>
    <w:rsid w:val="21575568"/>
    <w:rsid w:val="21735D26"/>
    <w:rsid w:val="21A04357"/>
    <w:rsid w:val="21A84A07"/>
    <w:rsid w:val="21C806DA"/>
    <w:rsid w:val="223725E2"/>
    <w:rsid w:val="22480C86"/>
    <w:rsid w:val="229C3794"/>
    <w:rsid w:val="22CC50D4"/>
    <w:rsid w:val="22E62DDC"/>
    <w:rsid w:val="23075605"/>
    <w:rsid w:val="2353485A"/>
    <w:rsid w:val="235A2129"/>
    <w:rsid w:val="23D941D7"/>
    <w:rsid w:val="23DD0E7D"/>
    <w:rsid w:val="242D1302"/>
    <w:rsid w:val="243307E0"/>
    <w:rsid w:val="243954FA"/>
    <w:rsid w:val="24411029"/>
    <w:rsid w:val="24E22490"/>
    <w:rsid w:val="250D19F5"/>
    <w:rsid w:val="252D6EF5"/>
    <w:rsid w:val="253B3B8B"/>
    <w:rsid w:val="25583417"/>
    <w:rsid w:val="257C3B13"/>
    <w:rsid w:val="25A14E4D"/>
    <w:rsid w:val="25A2260D"/>
    <w:rsid w:val="25C57D25"/>
    <w:rsid w:val="262501F5"/>
    <w:rsid w:val="262D3A3E"/>
    <w:rsid w:val="2687606E"/>
    <w:rsid w:val="26D04B43"/>
    <w:rsid w:val="26FD6FDE"/>
    <w:rsid w:val="26FF28C0"/>
    <w:rsid w:val="271743BF"/>
    <w:rsid w:val="27187D60"/>
    <w:rsid w:val="27C63C6A"/>
    <w:rsid w:val="27C83E0B"/>
    <w:rsid w:val="287D1F3E"/>
    <w:rsid w:val="28D45030"/>
    <w:rsid w:val="28D66C04"/>
    <w:rsid w:val="29476B23"/>
    <w:rsid w:val="298D1FA8"/>
    <w:rsid w:val="298E0E06"/>
    <w:rsid w:val="29C80D1D"/>
    <w:rsid w:val="2A436DB1"/>
    <w:rsid w:val="2B0C32B1"/>
    <w:rsid w:val="2B2F241F"/>
    <w:rsid w:val="2B370C76"/>
    <w:rsid w:val="2B555AE1"/>
    <w:rsid w:val="2B782B8C"/>
    <w:rsid w:val="2BA412AA"/>
    <w:rsid w:val="2BC73022"/>
    <w:rsid w:val="2BD92D80"/>
    <w:rsid w:val="2BFC1127"/>
    <w:rsid w:val="2C370DC2"/>
    <w:rsid w:val="2C395F1A"/>
    <w:rsid w:val="2C6507C4"/>
    <w:rsid w:val="2CB8206C"/>
    <w:rsid w:val="2CC967C5"/>
    <w:rsid w:val="2D9578A7"/>
    <w:rsid w:val="2DEC1C79"/>
    <w:rsid w:val="2DF32B77"/>
    <w:rsid w:val="2E005937"/>
    <w:rsid w:val="2E0F689B"/>
    <w:rsid w:val="2E150CD0"/>
    <w:rsid w:val="2E2E7ECB"/>
    <w:rsid w:val="2E727D7A"/>
    <w:rsid w:val="2E8A625D"/>
    <w:rsid w:val="2EA53EFE"/>
    <w:rsid w:val="2EDE56B2"/>
    <w:rsid w:val="2F1271A1"/>
    <w:rsid w:val="2F1C5546"/>
    <w:rsid w:val="2F21498D"/>
    <w:rsid w:val="2F7C2AA8"/>
    <w:rsid w:val="2F8871F2"/>
    <w:rsid w:val="2FA1282E"/>
    <w:rsid w:val="2FD4074D"/>
    <w:rsid w:val="2FE822AA"/>
    <w:rsid w:val="2FED544A"/>
    <w:rsid w:val="30107621"/>
    <w:rsid w:val="301E4C6F"/>
    <w:rsid w:val="30243E71"/>
    <w:rsid w:val="30956B44"/>
    <w:rsid w:val="30AC6745"/>
    <w:rsid w:val="3131310E"/>
    <w:rsid w:val="314320E3"/>
    <w:rsid w:val="31590F73"/>
    <w:rsid w:val="317E5770"/>
    <w:rsid w:val="31AE6AAB"/>
    <w:rsid w:val="32001619"/>
    <w:rsid w:val="322C20DD"/>
    <w:rsid w:val="322C34FA"/>
    <w:rsid w:val="324F2B7D"/>
    <w:rsid w:val="3255076B"/>
    <w:rsid w:val="32A21B10"/>
    <w:rsid w:val="32E00C87"/>
    <w:rsid w:val="33057398"/>
    <w:rsid w:val="33110AF4"/>
    <w:rsid w:val="33310106"/>
    <w:rsid w:val="34027FD4"/>
    <w:rsid w:val="345F7424"/>
    <w:rsid w:val="3470433F"/>
    <w:rsid w:val="34713B99"/>
    <w:rsid w:val="34715235"/>
    <w:rsid w:val="34CD6435"/>
    <w:rsid w:val="34FC6E34"/>
    <w:rsid w:val="35354994"/>
    <w:rsid w:val="35482254"/>
    <w:rsid w:val="355938FC"/>
    <w:rsid w:val="355D0ECA"/>
    <w:rsid w:val="35927056"/>
    <w:rsid w:val="35A12A09"/>
    <w:rsid w:val="35C36969"/>
    <w:rsid w:val="360E55BB"/>
    <w:rsid w:val="361D4FBE"/>
    <w:rsid w:val="364B6073"/>
    <w:rsid w:val="368E138D"/>
    <w:rsid w:val="36C07DC8"/>
    <w:rsid w:val="36C1150E"/>
    <w:rsid w:val="36E50B41"/>
    <w:rsid w:val="37996BEE"/>
    <w:rsid w:val="37C454DE"/>
    <w:rsid w:val="38033E76"/>
    <w:rsid w:val="38036994"/>
    <w:rsid w:val="38196915"/>
    <w:rsid w:val="381F4394"/>
    <w:rsid w:val="38495A89"/>
    <w:rsid w:val="385B20CC"/>
    <w:rsid w:val="387F41FC"/>
    <w:rsid w:val="38C527DD"/>
    <w:rsid w:val="3A025573"/>
    <w:rsid w:val="3A0451BC"/>
    <w:rsid w:val="3A3B2671"/>
    <w:rsid w:val="3A6B2187"/>
    <w:rsid w:val="3A9277D0"/>
    <w:rsid w:val="3AA20419"/>
    <w:rsid w:val="3AB46D46"/>
    <w:rsid w:val="3B0C5E6C"/>
    <w:rsid w:val="3B524C90"/>
    <w:rsid w:val="3B735286"/>
    <w:rsid w:val="3BC457FF"/>
    <w:rsid w:val="3BCA61F3"/>
    <w:rsid w:val="3BD5310D"/>
    <w:rsid w:val="3BE31412"/>
    <w:rsid w:val="3C15151D"/>
    <w:rsid w:val="3C8B3F84"/>
    <w:rsid w:val="3CC4690B"/>
    <w:rsid w:val="3CE61BAF"/>
    <w:rsid w:val="3D217658"/>
    <w:rsid w:val="3D232B5B"/>
    <w:rsid w:val="3D453532"/>
    <w:rsid w:val="3DBF3355"/>
    <w:rsid w:val="3E143474"/>
    <w:rsid w:val="3E4D67F5"/>
    <w:rsid w:val="3E630A8E"/>
    <w:rsid w:val="3E862A0F"/>
    <w:rsid w:val="3E9400CF"/>
    <w:rsid w:val="3EA23C86"/>
    <w:rsid w:val="3F24677A"/>
    <w:rsid w:val="3F4E229F"/>
    <w:rsid w:val="3F771B64"/>
    <w:rsid w:val="3FB71BFE"/>
    <w:rsid w:val="3FF45954"/>
    <w:rsid w:val="40032BC4"/>
    <w:rsid w:val="400D1324"/>
    <w:rsid w:val="402A129E"/>
    <w:rsid w:val="40312C01"/>
    <w:rsid w:val="4040592A"/>
    <w:rsid w:val="406641CE"/>
    <w:rsid w:val="40880D04"/>
    <w:rsid w:val="40B14499"/>
    <w:rsid w:val="40F551CF"/>
    <w:rsid w:val="413F291B"/>
    <w:rsid w:val="416B09CA"/>
    <w:rsid w:val="41C761B2"/>
    <w:rsid w:val="41C9540C"/>
    <w:rsid w:val="41F048C0"/>
    <w:rsid w:val="42245674"/>
    <w:rsid w:val="42573FA4"/>
    <w:rsid w:val="42A51E91"/>
    <w:rsid w:val="430125FC"/>
    <w:rsid w:val="432263B4"/>
    <w:rsid w:val="432B38CE"/>
    <w:rsid w:val="436E017A"/>
    <w:rsid w:val="438206BC"/>
    <w:rsid w:val="438E5AB5"/>
    <w:rsid w:val="43C61A01"/>
    <w:rsid w:val="43C64C8F"/>
    <w:rsid w:val="43CE5CEA"/>
    <w:rsid w:val="43D26866"/>
    <w:rsid w:val="440F5628"/>
    <w:rsid w:val="44167137"/>
    <w:rsid w:val="442F017C"/>
    <w:rsid w:val="443B0934"/>
    <w:rsid w:val="44554C93"/>
    <w:rsid w:val="44680E86"/>
    <w:rsid w:val="446B2354"/>
    <w:rsid w:val="447913F5"/>
    <w:rsid w:val="449A7836"/>
    <w:rsid w:val="44A77366"/>
    <w:rsid w:val="44B41810"/>
    <w:rsid w:val="45084F4F"/>
    <w:rsid w:val="45382544"/>
    <w:rsid w:val="455F27FB"/>
    <w:rsid w:val="45634690"/>
    <w:rsid w:val="457F7FD0"/>
    <w:rsid w:val="45B65AAA"/>
    <w:rsid w:val="45B70FEC"/>
    <w:rsid w:val="45BC663B"/>
    <w:rsid w:val="462B40D0"/>
    <w:rsid w:val="463A2DF8"/>
    <w:rsid w:val="464E5266"/>
    <w:rsid w:val="46547170"/>
    <w:rsid w:val="46687A3D"/>
    <w:rsid w:val="46857C43"/>
    <w:rsid w:val="46954259"/>
    <w:rsid w:val="46B03082"/>
    <w:rsid w:val="46C42E36"/>
    <w:rsid w:val="46CE2D0F"/>
    <w:rsid w:val="46F73AA5"/>
    <w:rsid w:val="47321800"/>
    <w:rsid w:val="47401B0C"/>
    <w:rsid w:val="477B19C6"/>
    <w:rsid w:val="47904C63"/>
    <w:rsid w:val="479F471D"/>
    <w:rsid w:val="47CE53AD"/>
    <w:rsid w:val="480413CF"/>
    <w:rsid w:val="484A1F6A"/>
    <w:rsid w:val="48B014AB"/>
    <w:rsid w:val="48BE3E6D"/>
    <w:rsid w:val="48BE54B0"/>
    <w:rsid w:val="48C71526"/>
    <w:rsid w:val="48ED5506"/>
    <w:rsid w:val="492B02A8"/>
    <w:rsid w:val="49515886"/>
    <w:rsid w:val="4954553D"/>
    <w:rsid w:val="495C101F"/>
    <w:rsid w:val="499140BE"/>
    <w:rsid w:val="49AE366E"/>
    <w:rsid w:val="49CD2794"/>
    <w:rsid w:val="49DE4A78"/>
    <w:rsid w:val="49F0795B"/>
    <w:rsid w:val="4A0B180A"/>
    <w:rsid w:val="4A1F4CCB"/>
    <w:rsid w:val="4A433FC6"/>
    <w:rsid w:val="4AD4587B"/>
    <w:rsid w:val="4B4A4A2E"/>
    <w:rsid w:val="4B5F2A0C"/>
    <w:rsid w:val="4B63783D"/>
    <w:rsid w:val="4BB22717"/>
    <w:rsid w:val="4BBB1FA4"/>
    <w:rsid w:val="4BD777FC"/>
    <w:rsid w:val="4BF174E8"/>
    <w:rsid w:val="4C0D043A"/>
    <w:rsid w:val="4C200913"/>
    <w:rsid w:val="4C4B396D"/>
    <w:rsid w:val="4C9E3D41"/>
    <w:rsid w:val="4CF72174"/>
    <w:rsid w:val="4CFE1E7F"/>
    <w:rsid w:val="4D02226B"/>
    <w:rsid w:val="4D0A03A2"/>
    <w:rsid w:val="4D2400ED"/>
    <w:rsid w:val="4D2E5838"/>
    <w:rsid w:val="4D757914"/>
    <w:rsid w:val="4D7A36CB"/>
    <w:rsid w:val="4DB9301A"/>
    <w:rsid w:val="4DD02DB1"/>
    <w:rsid w:val="4DF57B76"/>
    <w:rsid w:val="4E25460D"/>
    <w:rsid w:val="4E327D4A"/>
    <w:rsid w:val="4E39559B"/>
    <w:rsid w:val="4EC73383"/>
    <w:rsid w:val="4ECE1B35"/>
    <w:rsid w:val="4ED420F9"/>
    <w:rsid w:val="4EE61083"/>
    <w:rsid w:val="4F240D55"/>
    <w:rsid w:val="4F273F9C"/>
    <w:rsid w:val="4F3F48DE"/>
    <w:rsid w:val="4F500D2C"/>
    <w:rsid w:val="4F7516DB"/>
    <w:rsid w:val="50851129"/>
    <w:rsid w:val="50897CDB"/>
    <w:rsid w:val="509178C6"/>
    <w:rsid w:val="50F95A55"/>
    <w:rsid w:val="51430F50"/>
    <w:rsid w:val="518B3A6B"/>
    <w:rsid w:val="51976930"/>
    <w:rsid w:val="51B05E26"/>
    <w:rsid w:val="51ED6AE7"/>
    <w:rsid w:val="520250DB"/>
    <w:rsid w:val="52187525"/>
    <w:rsid w:val="522D01E0"/>
    <w:rsid w:val="525B21F6"/>
    <w:rsid w:val="527548CF"/>
    <w:rsid w:val="52897609"/>
    <w:rsid w:val="52A3627F"/>
    <w:rsid w:val="52B0401A"/>
    <w:rsid w:val="52BF0FD7"/>
    <w:rsid w:val="52BF5891"/>
    <w:rsid w:val="52C30D86"/>
    <w:rsid w:val="52D356F3"/>
    <w:rsid w:val="52E42A55"/>
    <w:rsid w:val="53214739"/>
    <w:rsid w:val="5332463E"/>
    <w:rsid w:val="53710577"/>
    <w:rsid w:val="537D797F"/>
    <w:rsid w:val="53823E7C"/>
    <w:rsid w:val="538C4919"/>
    <w:rsid w:val="53AA2BCF"/>
    <w:rsid w:val="53C92CEB"/>
    <w:rsid w:val="53D83060"/>
    <w:rsid w:val="53F045AD"/>
    <w:rsid w:val="54082F69"/>
    <w:rsid w:val="540F5FB2"/>
    <w:rsid w:val="541B46E8"/>
    <w:rsid w:val="54234E18"/>
    <w:rsid w:val="543A3513"/>
    <w:rsid w:val="54457632"/>
    <w:rsid w:val="54676D37"/>
    <w:rsid w:val="54724B97"/>
    <w:rsid w:val="5473009A"/>
    <w:rsid w:val="549C5D97"/>
    <w:rsid w:val="54D33936"/>
    <w:rsid w:val="54E0456B"/>
    <w:rsid w:val="550C229E"/>
    <w:rsid w:val="556272DC"/>
    <w:rsid w:val="55DE56CE"/>
    <w:rsid w:val="55F1744D"/>
    <w:rsid w:val="56220F75"/>
    <w:rsid w:val="563327A0"/>
    <w:rsid w:val="569C402D"/>
    <w:rsid w:val="569F3737"/>
    <w:rsid w:val="56EE6040"/>
    <w:rsid w:val="57090174"/>
    <w:rsid w:val="570969C6"/>
    <w:rsid w:val="570E43FE"/>
    <w:rsid w:val="573C59E3"/>
    <w:rsid w:val="573F3A30"/>
    <w:rsid w:val="574C0B47"/>
    <w:rsid w:val="577A6B37"/>
    <w:rsid w:val="577F316E"/>
    <w:rsid w:val="57B437EC"/>
    <w:rsid w:val="58111FDE"/>
    <w:rsid w:val="582B47DB"/>
    <w:rsid w:val="5833160B"/>
    <w:rsid w:val="58786B85"/>
    <w:rsid w:val="589921D3"/>
    <w:rsid w:val="58A54766"/>
    <w:rsid w:val="58BB1CB4"/>
    <w:rsid w:val="58FE23D1"/>
    <w:rsid w:val="591D4655"/>
    <w:rsid w:val="59D90FB4"/>
    <w:rsid w:val="59ED2FFD"/>
    <w:rsid w:val="59EE16C8"/>
    <w:rsid w:val="5A646708"/>
    <w:rsid w:val="5A6B6ED4"/>
    <w:rsid w:val="5A700608"/>
    <w:rsid w:val="5AF276C4"/>
    <w:rsid w:val="5B0A3719"/>
    <w:rsid w:val="5B374630"/>
    <w:rsid w:val="5B4932F8"/>
    <w:rsid w:val="5B542139"/>
    <w:rsid w:val="5B603130"/>
    <w:rsid w:val="5B9008B7"/>
    <w:rsid w:val="5BA775B6"/>
    <w:rsid w:val="5BDC50C3"/>
    <w:rsid w:val="5BEC03AC"/>
    <w:rsid w:val="5C3125CF"/>
    <w:rsid w:val="5C82245E"/>
    <w:rsid w:val="5CF2555C"/>
    <w:rsid w:val="5D28680F"/>
    <w:rsid w:val="5D2A1A00"/>
    <w:rsid w:val="5D87284C"/>
    <w:rsid w:val="5DC53E09"/>
    <w:rsid w:val="5E1632B8"/>
    <w:rsid w:val="5E2140E1"/>
    <w:rsid w:val="5E600665"/>
    <w:rsid w:val="5E67196E"/>
    <w:rsid w:val="5E8630E1"/>
    <w:rsid w:val="5EA56682"/>
    <w:rsid w:val="5EFE20FE"/>
    <w:rsid w:val="5F1A34F9"/>
    <w:rsid w:val="5F767060"/>
    <w:rsid w:val="5FA1405D"/>
    <w:rsid w:val="5FB4440F"/>
    <w:rsid w:val="5FD92450"/>
    <w:rsid w:val="5FED2AFB"/>
    <w:rsid w:val="606A1EE1"/>
    <w:rsid w:val="60C66352"/>
    <w:rsid w:val="60D04B61"/>
    <w:rsid w:val="60D1472C"/>
    <w:rsid w:val="615B23A8"/>
    <w:rsid w:val="615C6D49"/>
    <w:rsid w:val="61800E6A"/>
    <w:rsid w:val="618B2E98"/>
    <w:rsid w:val="61F51C14"/>
    <w:rsid w:val="62247CB3"/>
    <w:rsid w:val="62380907"/>
    <w:rsid w:val="62693148"/>
    <w:rsid w:val="62847F41"/>
    <w:rsid w:val="629B0F06"/>
    <w:rsid w:val="62A7465A"/>
    <w:rsid w:val="62C57AA6"/>
    <w:rsid w:val="62E77963"/>
    <w:rsid w:val="632308B3"/>
    <w:rsid w:val="632A4AF6"/>
    <w:rsid w:val="63312C30"/>
    <w:rsid w:val="6331312F"/>
    <w:rsid w:val="63367252"/>
    <w:rsid w:val="634F5291"/>
    <w:rsid w:val="63B93C70"/>
    <w:rsid w:val="63D02976"/>
    <w:rsid w:val="63E61674"/>
    <w:rsid w:val="647548D5"/>
    <w:rsid w:val="647709EB"/>
    <w:rsid w:val="647D3CAD"/>
    <w:rsid w:val="64A141E9"/>
    <w:rsid w:val="64B4029D"/>
    <w:rsid w:val="64BE6384"/>
    <w:rsid w:val="654C20B1"/>
    <w:rsid w:val="657A6809"/>
    <w:rsid w:val="658F7BFE"/>
    <w:rsid w:val="65D31E84"/>
    <w:rsid w:val="65D43A20"/>
    <w:rsid w:val="66205048"/>
    <w:rsid w:val="664107D0"/>
    <w:rsid w:val="66676D44"/>
    <w:rsid w:val="66680385"/>
    <w:rsid w:val="668D640C"/>
    <w:rsid w:val="66D97A4A"/>
    <w:rsid w:val="66F6096B"/>
    <w:rsid w:val="67121FDD"/>
    <w:rsid w:val="67256946"/>
    <w:rsid w:val="67847044"/>
    <w:rsid w:val="67A555B6"/>
    <w:rsid w:val="67E26FE4"/>
    <w:rsid w:val="67EA2BDA"/>
    <w:rsid w:val="681B5EFA"/>
    <w:rsid w:val="681F7D61"/>
    <w:rsid w:val="68481849"/>
    <w:rsid w:val="68E24419"/>
    <w:rsid w:val="694159EE"/>
    <w:rsid w:val="694D2244"/>
    <w:rsid w:val="698F3F94"/>
    <w:rsid w:val="69C91AFE"/>
    <w:rsid w:val="69DA5367"/>
    <w:rsid w:val="69E845CF"/>
    <w:rsid w:val="69EF679D"/>
    <w:rsid w:val="6A013673"/>
    <w:rsid w:val="6A1C19DC"/>
    <w:rsid w:val="6A2C3E13"/>
    <w:rsid w:val="6AB4579C"/>
    <w:rsid w:val="6AC40CBB"/>
    <w:rsid w:val="6AC678DF"/>
    <w:rsid w:val="6B2B585C"/>
    <w:rsid w:val="6B3B2000"/>
    <w:rsid w:val="6B9968E6"/>
    <w:rsid w:val="6BE749BA"/>
    <w:rsid w:val="6C706D77"/>
    <w:rsid w:val="6C92232B"/>
    <w:rsid w:val="6CB15063"/>
    <w:rsid w:val="6CD3759F"/>
    <w:rsid w:val="6CD516F4"/>
    <w:rsid w:val="6CD5451D"/>
    <w:rsid w:val="6CFF57E0"/>
    <w:rsid w:val="6D2040AB"/>
    <w:rsid w:val="6D265F8D"/>
    <w:rsid w:val="6D527F09"/>
    <w:rsid w:val="6D591483"/>
    <w:rsid w:val="6D7105DF"/>
    <w:rsid w:val="6D7C5FAF"/>
    <w:rsid w:val="6D7D3722"/>
    <w:rsid w:val="6D8B494D"/>
    <w:rsid w:val="6E0A0041"/>
    <w:rsid w:val="6E334412"/>
    <w:rsid w:val="6E5660DB"/>
    <w:rsid w:val="6EA12FD8"/>
    <w:rsid w:val="6EE97CEF"/>
    <w:rsid w:val="6EFF4FF8"/>
    <w:rsid w:val="6F245B7F"/>
    <w:rsid w:val="6F557BFC"/>
    <w:rsid w:val="6F791BAC"/>
    <w:rsid w:val="6F79789C"/>
    <w:rsid w:val="6FAC590C"/>
    <w:rsid w:val="6FB4465F"/>
    <w:rsid w:val="6FFF5008"/>
    <w:rsid w:val="70206048"/>
    <w:rsid w:val="70311D45"/>
    <w:rsid w:val="70525EEB"/>
    <w:rsid w:val="70726622"/>
    <w:rsid w:val="70756DFC"/>
    <w:rsid w:val="70803CD2"/>
    <w:rsid w:val="70914AAD"/>
    <w:rsid w:val="70B469B9"/>
    <w:rsid w:val="71203076"/>
    <w:rsid w:val="712220E8"/>
    <w:rsid w:val="71576712"/>
    <w:rsid w:val="7166431B"/>
    <w:rsid w:val="71BA2B85"/>
    <w:rsid w:val="71EB75B9"/>
    <w:rsid w:val="720A143C"/>
    <w:rsid w:val="721120B0"/>
    <w:rsid w:val="72471C2E"/>
    <w:rsid w:val="72536135"/>
    <w:rsid w:val="72C31133"/>
    <w:rsid w:val="736247CE"/>
    <w:rsid w:val="73663271"/>
    <w:rsid w:val="73763CFB"/>
    <w:rsid w:val="73780905"/>
    <w:rsid w:val="73927DA8"/>
    <w:rsid w:val="73A14B3F"/>
    <w:rsid w:val="73AF10E9"/>
    <w:rsid w:val="73CA190F"/>
    <w:rsid w:val="74363944"/>
    <w:rsid w:val="74602F1E"/>
    <w:rsid w:val="74CE52F0"/>
    <w:rsid w:val="75363671"/>
    <w:rsid w:val="75B46B29"/>
    <w:rsid w:val="76127465"/>
    <w:rsid w:val="7618275C"/>
    <w:rsid w:val="762A4A23"/>
    <w:rsid w:val="76383D2C"/>
    <w:rsid w:val="767A2D5E"/>
    <w:rsid w:val="76B26A4C"/>
    <w:rsid w:val="76DB004D"/>
    <w:rsid w:val="7708079E"/>
    <w:rsid w:val="77154530"/>
    <w:rsid w:val="77577AC4"/>
    <w:rsid w:val="775D6BA8"/>
    <w:rsid w:val="775F45E6"/>
    <w:rsid w:val="777D2923"/>
    <w:rsid w:val="77BA3BCF"/>
    <w:rsid w:val="77D65E6A"/>
    <w:rsid w:val="77F42148"/>
    <w:rsid w:val="78121E8B"/>
    <w:rsid w:val="7829203A"/>
    <w:rsid w:val="7852157F"/>
    <w:rsid w:val="7872373A"/>
    <w:rsid w:val="78741182"/>
    <w:rsid w:val="78954E88"/>
    <w:rsid w:val="789A41E7"/>
    <w:rsid w:val="78A10B80"/>
    <w:rsid w:val="78C15C51"/>
    <w:rsid w:val="78CA6ED0"/>
    <w:rsid w:val="792B421B"/>
    <w:rsid w:val="793F3909"/>
    <w:rsid w:val="79672DF6"/>
    <w:rsid w:val="796F3525"/>
    <w:rsid w:val="79AD75D7"/>
    <w:rsid w:val="79D143EB"/>
    <w:rsid w:val="7A0641FF"/>
    <w:rsid w:val="7A1F6B25"/>
    <w:rsid w:val="7A2C24E2"/>
    <w:rsid w:val="7A573ED6"/>
    <w:rsid w:val="7A63481C"/>
    <w:rsid w:val="7A8F6AFA"/>
    <w:rsid w:val="7AB61872"/>
    <w:rsid w:val="7B194382"/>
    <w:rsid w:val="7B1F53B0"/>
    <w:rsid w:val="7B56160E"/>
    <w:rsid w:val="7BB17568"/>
    <w:rsid w:val="7BBC5697"/>
    <w:rsid w:val="7BE96F08"/>
    <w:rsid w:val="7C150BA5"/>
    <w:rsid w:val="7CA115C0"/>
    <w:rsid w:val="7CAF48F0"/>
    <w:rsid w:val="7CC64A94"/>
    <w:rsid w:val="7CCE1CBC"/>
    <w:rsid w:val="7CE1199E"/>
    <w:rsid w:val="7D0056AC"/>
    <w:rsid w:val="7D2D5414"/>
    <w:rsid w:val="7D3832E2"/>
    <w:rsid w:val="7D7E4DBA"/>
    <w:rsid w:val="7DA05C7E"/>
    <w:rsid w:val="7DB16E1E"/>
    <w:rsid w:val="7DDB1A21"/>
    <w:rsid w:val="7DFB4C92"/>
    <w:rsid w:val="7E5E7F48"/>
    <w:rsid w:val="7E9E23D4"/>
    <w:rsid w:val="7EB3138B"/>
    <w:rsid w:val="7ED755DB"/>
    <w:rsid w:val="7EF91DDE"/>
    <w:rsid w:val="7EF966FA"/>
    <w:rsid w:val="7EFD4A50"/>
    <w:rsid w:val="7F2D1EC6"/>
    <w:rsid w:val="7F4E3BD5"/>
    <w:rsid w:val="7F722218"/>
    <w:rsid w:val="7F893600"/>
    <w:rsid w:val="7FD11E88"/>
    <w:rsid w:val="7FD665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47"/>
    <w:qFormat/>
    <w:uiPriority w:val="9"/>
    <w:pPr>
      <w:keepNext/>
      <w:keepLines/>
      <w:spacing w:before="260" w:after="260" w:line="416" w:lineRule="auto"/>
      <w:outlineLvl w:val="1"/>
    </w:pPr>
    <w:rPr>
      <w:rFonts w:ascii="Cambria" w:hAnsi="Cambria"/>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left="200" w:leftChars="200"/>
    </w:pPr>
  </w:style>
  <w:style w:type="paragraph" w:styleId="4">
    <w:name w:val="Normal Indent"/>
    <w:basedOn w:val="1"/>
    <w:qFormat/>
    <w:uiPriority w:val="0"/>
    <w:pPr>
      <w:ind w:firstLine="420" w:firstLineChars="200"/>
    </w:p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43"/>
    <w:qFormat/>
    <w:uiPriority w:val="0"/>
    <w:pPr>
      <w:jc w:val="left"/>
    </w:pPr>
  </w:style>
  <w:style w:type="paragraph" w:styleId="7">
    <w:name w:val="Body Text Indent"/>
    <w:basedOn w:val="1"/>
    <w:qFormat/>
    <w:uiPriority w:val="0"/>
    <w:pPr>
      <w:spacing w:after="120"/>
      <w:ind w:left="420" w:leftChars="200"/>
    </w:pPr>
  </w:style>
  <w:style w:type="paragraph" w:styleId="8">
    <w:name w:val="Plain Text"/>
    <w:basedOn w:val="1"/>
    <w:link w:val="40"/>
    <w:unhideWhenUsed/>
    <w:qFormat/>
    <w:uiPriority w:val="0"/>
    <w:rPr>
      <w:rFonts w:ascii="仿宋_GB2312" w:hAnsi="Courier New" w:eastAsia="仿宋_GB2312" w:cs="Courier New"/>
      <w:kern w:val="0"/>
      <w:sz w:val="32"/>
      <w:szCs w:val="21"/>
    </w:rPr>
  </w:style>
  <w:style w:type="paragraph" w:styleId="9">
    <w:name w:val="Date"/>
    <w:basedOn w:val="1"/>
    <w:next w:val="1"/>
    <w:qFormat/>
    <w:uiPriority w:val="0"/>
    <w:pPr>
      <w:ind w:left="100" w:leftChars="2500"/>
    </w:pPr>
  </w:style>
  <w:style w:type="paragraph" w:styleId="10">
    <w:name w:val="Body Text Indent 2"/>
    <w:basedOn w:val="1"/>
    <w:qFormat/>
    <w:uiPriority w:val="0"/>
    <w:pPr>
      <w:spacing w:after="120" w:line="480" w:lineRule="auto"/>
      <w:ind w:left="420" w:leftChars="200"/>
    </w:pPr>
  </w:style>
  <w:style w:type="paragraph" w:styleId="11">
    <w:name w:val="Balloon Text"/>
    <w:basedOn w:val="1"/>
    <w:link w:val="41"/>
    <w:qFormat/>
    <w:uiPriority w:val="0"/>
    <w:rPr>
      <w:sz w:val="18"/>
      <w:szCs w:val="18"/>
    </w:rPr>
  </w:style>
  <w:style w:type="paragraph" w:styleId="12">
    <w:name w:val="footer"/>
    <w:basedOn w:val="1"/>
    <w:link w:val="27"/>
    <w:qFormat/>
    <w:uiPriority w:val="0"/>
    <w:pPr>
      <w:tabs>
        <w:tab w:val="center" w:pos="4153"/>
        <w:tab w:val="right" w:pos="8306"/>
      </w:tabs>
      <w:snapToGrid w:val="0"/>
      <w:jc w:val="left"/>
    </w:pPr>
    <w:rPr>
      <w:sz w:val="18"/>
      <w:szCs w:val="18"/>
    </w:rPr>
  </w:style>
  <w:style w:type="paragraph" w:styleId="13">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Subtitle"/>
    <w:basedOn w:val="1"/>
    <w:next w:val="1"/>
    <w:link w:val="48"/>
    <w:qFormat/>
    <w:uiPriority w:val="0"/>
    <w:pPr>
      <w:tabs>
        <w:tab w:val="left" w:pos="1129"/>
        <w:tab w:val="left" w:pos="1418"/>
      </w:tabs>
      <w:ind w:firstLine="452" w:firstLineChars="150"/>
      <w:outlineLvl w:val="0"/>
    </w:pPr>
    <w:rPr>
      <w:rFonts w:ascii="仿宋" w:hAnsi="仿宋" w:eastAsia="仿宋"/>
      <w:b/>
      <w:sz w:val="30"/>
      <w:szCs w:val="30"/>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42"/>
    <w:qFormat/>
    <w:uiPriority w:val="0"/>
    <w:pPr>
      <w:spacing w:before="240" w:after="60"/>
      <w:jc w:val="center"/>
      <w:outlineLvl w:val="0"/>
    </w:pPr>
    <w:rPr>
      <w:rFonts w:ascii="Cambria" w:hAnsi="Cambria"/>
      <w:b/>
      <w:bCs/>
      <w:sz w:val="32"/>
      <w:szCs w:val="32"/>
    </w:rPr>
  </w:style>
  <w:style w:type="paragraph" w:styleId="19">
    <w:name w:val="annotation subject"/>
    <w:basedOn w:val="6"/>
    <w:next w:val="6"/>
    <w:link w:val="44"/>
    <w:qFormat/>
    <w:uiPriority w:val="0"/>
    <w:rPr>
      <w:b/>
      <w:bCs/>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Emphasis"/>
    <w:qFormat/>
    <w:uiPriority w:val="0"/>
    <w:rPr>
      <w:rFonts w:ascii="黑体" w:eastAsia="黑体" w:cs="Times New Roman"/>
      <w:iCs/>
      <w:sz w:val="32"/>
    </w:rPr>
  </w:style>
  <w:style w:type="character" w:styleId="25">
    <w:name w:val="annotation reference"/>
    <w:qFormat/>
    <w:uiPriority w:val="0"/>
    <w:rPr>
      <w:sz w:val="21"/>
      <w:szCs w:val="21"/>
    </w:rPr>
  </w:style>
  <w:style w:type="character" w:customStyle="1" w:styleId="26">
    <w:name w:val="页眉 Char"/>
    <w:link w:val="13"/>
    <w:qFormat/>
    <w:uiPriority w:val="99"/>
    <w:rPr>
      <w:rFonts w:eastAsia="宋体"/>
      <w:kern w:val="2"/>
      <w:sz w:val="18"/>
      <w:szCs w:val="18"/>
      <w:lang w:val="en-US" w:eastAsia="zh-CN" w:bidi="ar-SA"/>
    </w:rPr>
  </w:style>
  <w:style w:type="character" w:customStyle="1" w:styleId="27">
    <w:name w:val="页脚 Char"/>
    <w:link w:val="12"/>
    <w:qFormat/>
    <w:uiPriority w:val="0"/>
    <w:rPr>
      <w:rFonts w:eastAsia="宋体"/>
      <w:kern w:val="2"/>
      <w:sz w:val="18"/>
      <w:szCs w:val="18"/>
      <w:lang w:val="en-US" w:eastAsia="zh-CN" w:bidi="ar-SA"/>
    </w:rPr>
  </w:style>
  <w:style w:type="paragraph" w:customStyle="1" w:styleId="28">
    <w:name w:val="Char Char Char Char Char Char Char Char Char Char Char Char Char Char Char Char Char Char Char"/>
    <w:basedOn w:val="1"/>
    <w:qFormat/>
    <w:uiPriority w:val="0"/>
    <w:pPr>
      <w:tabs>
        <w:tab w:val="left" w:pos="360"/>
      </w:tabs>
      <w:spacing w:afterLines="50"/>
      <w:ind w:firstLine="200" w:firstLineChars="200"/>
    </w:pPr>
    <w:rPr>
      <w:rFonts w:eastAsia="仿宋_GB2312"/>
      <w:sz w:val="24"/>
      <w:szCs w:val="32"/>
    </w:rPr>
  </w:style>
  <w:style w:type="paragraph" w:customStyle="1" w:styleId="29">
    <w:name w:val="Char Char Char Char Char Char Char"/>
    <w:basedOn w:val="1"/>
    <w:qFormat/>
    <w:uiPriority w:val="0"/>
  </w:style>
  <w:style w:type="paragraph" w:customStyle="1" w:styleId="30">
    <w:name w:val="Char Char Char Char"/>
    <w:basedOn w:val="1"/>
    <w:qFormat/>
    <w:uiPriority w:val="0"/>
    <w:rPr>
      <w:rFonts w:eastAsia="仿宋_GB2312"/>
      <w:kern w:val="0"/>
      <w:sz w:val="32"/>
      <w:szCs w:val="21"/>
    </w:rPr>
  </w:style>
  <w:style w:type="paragraph" w:customStyle="1" w:styleId="31">
    <w:name w:val="附注二级正文"/>
    <w:basedOn w:val="1"/>
    <w:qFormat/>
    <w:uiPriority w:val="0"/>
    <w:pPr>
      <w:adjustRightInd w:val="0"/>
      <w:snapToGrid w:val="0"/>
      <w:spacing w:line="400" w:lineRule="atLeast"/>
      <w:ind w:left="718" w:leftChars="342"/>
    </w:pPr>
    <w:rPr>
      <w:rFonts w:ascii="宋体" w:hAnsi="宋体"/>
      <w:szCs w:val="21"/>
    </w:rPr>
  </w:style>
  <w:style w:type="paragraph" w:customStyle="1" w:styleId="32">
    <w:name w:val="K&amp;W Body text"/>
    <w:basedOn w:val="1"/>
    <w:qFormat/>
    <w:uiPriority w:val="0"/>
    <w:pPr>
      <w:widowControl/>
      <w:spacing w:after="360" w:line="320" w:lineRule="atLeast"/>
      <w:ind w:firstLine="200" w:firstLineChars="200"/>
    </w:pPr>
    <w:rPr>
      <w:rFonts w:ascii="Arial" w:hAnsi="Arial" w:eastAsia="楷体_GB2312"/>
      <w:kern w:val="0"/>
      <w:sz w:val="24"/>
      <w:szCs w:val="20"/>
      <w:lang w:eastAsia="en-US"/>
    </w:rPr>
  </w:style>
  <w:style w:type="paragraph" w:customStyle="1" w:styleId="33">
    <w:name w:val="K&amp;W heading 1"/>
    <w:basedOn w:val="1"/>
    <w:next w:val="32"/>
    <w:qFormat/>
    <w:uiPriority w:val="0"/>
    <w:pPr>
      <w:keepNext/>
      <w:numPr>
        <w:ilvl w:val="0"/>
        <w:numId w:val="1"/>
      </w:numPr>
      <w:spacing w:after="360" w:line="320" w:lineRule="exact"/>
      <w:outlineLvl w:val="0"/>
    </w:pPr>
    <w:rPr>
      <w:rFonts w:ascii="Arial" w:hAnsi="Arial" w:eastAsia="楷体_GB2312"/>
      <w:b/>
      <w:kern w:val="0"/>
      <w:sz w:val="28"/>
      <w:szCs w:val="20"/>
      <w:lang w:eastAsia="en-US"/>
    </w:rPr>
  </w:style>
  <w:style w:type="paragraph" w:customStyle="1" w:styleId="34">
    <w:name w:val="K&amp;W heading 2"/>
    <w:basedOn w:val="1"/>
    <w:next w:val="32"/>
    <w:qFormat/>
    <w:uiPriority w:val="0"/>
    <w:pPr>
      <w:keepNext/>
      <w:numPr>
        <w:ilvl w:val="1"/>
        <w:numId w:val="1"/>
      </w:numPr>
      <w:spacing w:after="360" w:line="320" w:lineRule="exact"/>
      <w:outlineLvl w:val="1"/>
    </w:pPr>
    <w:rPr>
      <w:rFonts w:ascii="Arial" w:hAnsi="Arial" w:eastAsia="楷体_GB2312"/>
      <w:kern w:val="0"/>
      <w:sz w:val="24"/>
      <w:szCs w:val="20"/>
      <w:lang w:eastAsia="en-US"/>
    </w:rPr>
  </w:style>
  <w:style w:type="paragraph" w:customStyle="1" w:styleId="35">
    <w:name w:val="K&amp;W heading 3"/>
    <w:basedOn w:val="1"/>
    <w:qFormat/>
    <w:uiPriority w:val="0"/>
    <w:pPr>
      <w:widowControl/>
      <w:numPr>
        <w:ilvl w:val="2"/>
        <w:numId w:val="1"/>
      </w:numPr>
      <w:spacing w:after="360" w:line="320" w:lineRule="exact"/>
      <w:outlineLvl w:val="2"/>
    </w:pPr>
    <w:rPr>
      <w:rFonts w:ascii="Arial" w:hAnsi="Arial" w:eastAsia="楷体_GB2312"/>
      <w:kern w:val="0"/>
      <w:sz w:val="24"/>
      <w:szCs w:val="20"/>
      <w:lang w:eastAsia="en-US"/>
    </w:rPr>
  </w:style>
  <w:style w:type="paragraph" w:customStyle="1" w:styleId="36">
    <w:name w:val="K&amp;W heading 4"/>
    <w:basedOn w:val="1"/>
    <w:qFormat/>
    <w:uiPriority w:val="0"/>
    <w:pPr>
      <w:widowControl/>
      <w:numPr>
        <w:ilvl w:val="3"/>
        <w:numId w:val="1"/>
      </w:numPr>
      <w:spacing w:after="360" w:line="320" w:lineRule="exact"/>
      <w:outlineLvl w:val="3"/>
    </w:pPr>
    <w:rPr>
      <w:rFonts w:ascii="Arial" w:hAnsi="Arial" w:eastAsia="楷体_GB2312"/>
      <w:kern w:val="0"/>
      <w:sz w:val="24"/>
      <w:szCs w:val="20"/>
      <w:lang w:eastAsia="en-US"/>
    </w:rPr>
  </w:style>
  <w:style w:type="paragraph" w:customStyle="1" w:styleId="37">
    <w:name w:val="K&amp;W heading 5"/>
    <w:basedOn w:val="1"/>
    <w:qFormat/>
    <w:uiPriority w:val="0"/>
    <w:pPr>
      <w:widowControl/>
      <w:numPr>
        <w:ilvl w:val="4"/>
        <w:numId w:val="1"/>
      </w:numPr>
      <w:spacing w:after="360" w:line="320" w:lineRule="exact"/>
      <w:outlineLvl w:val="4"/>
    </w:pPr>
    <w:rPr>
      <w:rFonts w:ascii="Arial" w:hAnsi="Arial" w:eastAsia="楷体_GB2312"/>
      <w:kern w:val="0"/>
      <w:sz w:val="24"/>
      <w:szCs w:val="20"/>
      <w:lang w:eastAsia="en-US"/>
    </w:rPr>
  </w:style>
  <w:style w:type="paragraph" w:customStyle="1" w:styleId="38">
    <w:name w:val="Char Char Char Char Char Char Char1"/>
    <w:basedOn w:val="1"/>
    <w:qFormat/>
    <w:uiPriority w:val="0"/>
  </w:style>
  <w:style w:type="paragraph" w:customStyle="1" w:styleId="39">
    <w:name w:val="Char"/>
    <w:basedOn w:val="1"/>
    <w:qFormat/>
    <w:uiPriority w:val="0"/>
    <w:pPr>
      <w:tabs>
        <w:tab w:val="left" w:pos="360"/>
      </w:tabs>
      <w:spacing w:afterLines="50"/>
      <w:ind w:firstLine="200" w:firstLineChars="200"/>
    </w:pPr>
    <w:rPr>
      <w:rFonts w:eastAsia="仿宋_GB2312"/>
      <w:sz w:val="24"/>
    </w:rPr>
  </w:style>
  <w:style w:type="character" w:customStyle="1" w:styleId="40">
    <w:name w:val="纯文本 Char"/>
    <w:link w:val="8"/>
    <w:qFormat/>
    <w:uiPriority w:val="0"/>
    <w:rPr>
      <w:rFonts w:ascii="仿宋_GB2312" w:hAnsi="Courier New" w:eastAsia="仿宋_GB2312" w:cs="Courier New"/>
      <w:sz w:val="32"/>
      <w:szCs w:val="21"/>
      <w:lang w:val="en-US" w:eastAsia="zh-CN" w:bidi="ar-SA"/>
    </w:rPr>
  </w:style>
  <w:style w:type="character" w:customStyle="1" w:styleId="41">
    <w:name w:val="批注框文本 Char"/>
    <w:link w:val="11"/>
    <w:qFormat/>
    <w:uiPriority w:val="0"/>
    <w:rPr>
      <w:kern w:val="2"/>
      <w:sz w:val="18"/>
      <w:szCs w:val="18"/>
    </w:rPr>
  </w:style>
  <w:style w:type="character" w:customStyle="1" w:styleId="42">
    <w:name w:val="标题 Char"/>
    <w:link w:val="18"/>
    <w:qFormat/>
    <w:uiPriority w:val="0"/>
    <w:rPr>
      <w:rFonts w:ascii="Cambria" w:hAnsi="Cambria" w:cs="Times New Roman"/>
      <w:b/>
      <w:bCs/>
      <w:kern w:val="2"/>
      <w:sz w:val="32"/>
      <w:szCs w:val="32"/>
    </w:rPr>
  </w:style>
  <w:style w:type="character" w:customStyle="1" w:styleId="43">
    <w:name w:val="批注文字 Char"/>
    <w:link w:val="6"/>
    <w:qFormat/>
    <w:uiPriority w:val="0"/>
    <w:rPr>
      <w:kern w:val="2"/>
      <w:sz w:val="21"/>
      <w:szCs w:val="24"/>
    </w:rPr>
  </w:style>
  <w:style w:type="character" w:customStyle="1" w:styleId="44">
    <w:name w:val="批注主题 Char"/>
    <w:link w:val="19"/>
    <w:qFormat/>
    <w:uiPriority w:val="0"/>
    <w:rPr>
      <w:b/>
      <w:bCs/>
      <w:kern w:val="2"/>
      <w:sz w:val="21"/>
      <w:szCs w:val="24"/>
    </w:rPr>
  </w:style>
  <w:style w:type="paragraph" w:customStyle="1" w:styleId="45">
    <w:name w:val="修订1"/>
    <w:hidden/>
    <w:semiHidden/>
    <w:qFormat/>
    <w:uiPriority w:val="99"/>
    <w:rPr>
      <w:rFonts w:ascii="Times New Roman" w:hAnsi="Times New Roman" w:eastAsia="宋体" w:cs="Times New Roman"/>
      <w:kern w:val="2"/>
      <w:sz w:val="21"/>
      <w:szCs w:val="24"/>
      <w:lang w:val="en-US" w:eastAsia="zh-CN" w:bidi="ar-SA"/>
    </w:rPr>
  </w:style>
  <w:style w:type="paragraph" w:styleId="46">
    <w:name w:val="List Paragraph"/>
    <w:basedOn w:val="1"/>
    <w:qFormat/>
    <w:uiPriority w:val="34"/>
    <w:pPr>
      <w:ind w:firstLine="420" w:firstLineChars="200"/>
    </w:pPr>
  </w:style>
  <w:style w:type="character" w:customStyle="1" w:styleId="47">
    <w:name w:val="标题 2 Char"/>
    <w:link w:val="3"/>
    <w:qFormat/>
    <w:uiPriority w:val="9"/>
    <w:rPr>
      <w:rFonts w:ascii="Cambria" w:hAnsi="Cambria"/>
      <w:b/>
      <w:bCs/>
      <w:kern w:val="2"/>
      <w:sz w:val="32"/>
      <w:szCs w:val="32"/>
    </w:rPr>
  </w:style>
  <w:style w:type="character" w:customStyle="1" w:styleId="48">
    <w:name w:val="副标题 Char1"/>
    <w:link w:val="15"/>
    <w:qFormat/>
    <w:uiPriority w:val="0"/>
    <w:rPr>
      <w:rFonts w:ascii="仿宋" w:hAnsi="仿宋" w:eastAsia="仿宋"/>
      <w:b/>
      <w:kern w:val="2"/>
      <w:sz w:val="30"/>
      <w:szCs w:val="30"/>
    </w:rPr>
  </w:style>
  <w:style w:type="character" w:customStyle="1" w:styleId="49">
    <w:name w:val="副标题 Char"/>
    <w:qFormat/>
    <w:uiPriority w:val="0"/>
    <w:rPr>
      <w:rFonts w:ascii="Cambria" w:hAnsi="Cambria" w:cs="Times New Roman"/>
      <w:b/>
      <w:bCs/>
      <w:kern w:val="28"/>
      <w:sz w:val="32"/>
      <w:szCs w:val="32"/>
    </w:rPr>
  </w:style>
  <w:style w:type="character" w:customStyle="1" w:styleId="50">
    <w:name w:val="fontstyle01"/>
    <w:basedOn w:val="22"/>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9A83F3-F538-481E-80C2-7371510F41C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5348</Words>
  <Characters>30490</Characters>
  <Lines>254</Lines>
  <Paragraphs>71</Paragraphs>
  <TotalTime>7</TotalTime>
  <ScaleCrop>false</ScaleCrop>
  <LinksUpToDate>false</LinksUpToDate>
  <CharactersWithSpaces>35767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2020-03-18T01:13:00Z</dcterms:created>
  <dc:creator>卢淇</dc:creator>
  <cp:keywords>2019年度报告</cp:keywords>
  <cp:lastModifiedBy>Administrator</cp:lastModifiedBy>
  <cp:lastPrinted>2025-04-24T00:59:00Z</cp:lastPrinted>
  <dcterms:modified xsi:type="dcterms:W3CDTF">2026-04-27T09:44:03Z</dcterms:modified>
  <dc:title>广东广宁农村商业银行股份有限公司</dc:title>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F967D28AFE4F42FB901EB478AE76035C</vt:lpwstr>
  </property>
</Properties>
</file>